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8805A" w14:textId="07BDFEF4" w:rsidR="00AA2250" w:rsidRPr="00AA2250" w:rsidRDefault="00AA2250" w:rsidP="00AA2250">
      <w:pPr>
        <w:jc w:val="center"/>
        <w:rPr>
          <w:rFonts w:ascii="Poppins" w:hAnsi="Poppins" w:cs="Poppins"/>
        </w:rPr>
      </w:pPr>
      <w:r w:rsidRPr="00AA2250">
        <w:rPr>
          <w:rFonts w:ascii="Poppins" w:hAnsi="Poppins" w:cs="Poppins"/>
          <w:sz w:val="20"/>
          <w:szCs w:val="20"/>
        </w:rPr>
        <w:t>Product Data Sheet</w:t>
      </w:r>
      <w:r>
        <w:rPr>
          <w:rFonts w:ascii="Poppins" w:hAnsi="Poppins" w:cs="Poppins"/>
        </w:rPr>
        <w:br/>
      </w:r>
      <w:r w:rsidR="00FB707E">
        <w:rPr>
          <w:rFonts w:ascii="Poppins" w:hAnsi="Poppins" w:cs="Poppins"/>
          <w:b/>
          <w:bCs/>
        </w:rPr>
        <w:t>Myc</w:t>
      </w:r>
      <w:r w:rsidR="008D0242">
        <w:rPr>
          <w:rFonts w:ascii="Poppins" w:hAnsi="Poppins" w:cs="Poppins"/>
          <w:b/>
          <w:bCs/>
        </w:rPr>
        <w:t>-Tag Monoclonal Antibody</w:t>
      </w:r>
      <w:r>
        <w:rPr>
          <w:rFonts w:ascii="Poppins" w:hAnsi="Poppins" w:cs="Poppins"/>
        </w:rPr>
        <w:br/>
      </w:r>
      <w:r w:rsidRPr="00AA2250">
        <w:rPr>
          <w:rFonts w:ascii="Poppins" w:hAnsi="Poppins" w:cs="Poppins"/>
          <w:sz w:val="20"/>
          <w:szCs w:val="20"/>
        </w:rPr>
        <w:t xml:space="preserve">Catalog Number: </w:t>
      </w:r>
      <w:r w:rsidR="008D0242" w:rsidRPr="008D0242">
        <w:rPr>
          <w:rFonts w:ascii="Poppins" w:hAnsi="Poppins" w:cs="Poppins"/>
          <w:sz w:val="20"/>
          <w:szCs w:val="20"/>
        </w:rPr>
        <w:t>ORF.</w:t>
      </w:r>
      <w:r w:rsidR="00FB707E">
        <w:rPr>
          <w:rFonts w:ascii="Poppins" w:hAnsi="Poppins" w:cs="Poppins"/>
          <w:sz w:val="20"/>
          <w:szCs w:val="20"/>
        </w:rPr>
        <w:t>MYC</w:t>
      </w:r>
      <w:r w:rsidR="008D0242" w:rsidRPr="008D0242">
        <w:rPr>
          <w:rFonts w:ascii="Poppins" w:hAnsi="Poppins" w:cs="Poppins"/>
          <w:sz w:val="20"/>
          <w:szCs w:val="20"/>
        </w:rPr>
        <w:t>MAB-50</w:t>
      </w: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2605"/>
        <w:gridCol w:w="8185"/>
      </w:tblGrid>
      <w:tr w:rsidR="00AA2250" w14:paraId="49A76701" w14:textId="77777777" w:rsidTr="00DE729B">
        <w:tc>
          <w:tcPr>
            <w:tcW w:w="10790" w:type="dxa"/>
            <w:gridSpan w:val="2"/>
            <w:shd w:val="clear" w:color="auto" w:fill="1C184D"/>
          </w:tcPr>
          <w:p w14:paraId="56244CE9" w14:textId="592C7250" w:rsidR="00AA2250" w:rsidRPr="005F10EC" w:rsidRDefault="00AA2250" w:rsidP="00AA2250">
            <w:pPr>
              <w:jc w:val="center"/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</w:pPr>
            <w:r w:rsidRPr="005F10EC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Details</w:t>
            </w:r>
          </w:p>
        </w:tc>
      </w:tr>
      <w:tr w:rsidR="00AA2250" w14:paraId="7EF63FA9" w14:textId="77777777" w:rsidTr="00A16118">
        <w:tc>
          <w:tcPr>
            <w:tcW w:w="2605" w:type="dxa"/>
          </w:tcPr>
          <w:p w14:paraId="36275B78" w14:textId="7B8DB533" w:rsidR="00AA2250" w:rsidRPr="00AA2250" w:rsidRDefault="00AA2250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AA2250">
              <w:rPr>
                <w:rFonts w:ascii="Poppins" w:hAnsi="Poppins" w:cs="Poppins"/>
                <w:b/>
                <w:bCs/>
                <w:sz w:val="18"/>
                <w:szCs w:val="18"/>
              </w:rPr>
              <w:t>Product Name</w:t>
            </w:r>
          </w:p>
        </w:tc>
        <w:tc>
          <w:tcPr>
            <w:tcW w:w="8185" w:type="dxa"/>
          </w:tcPr>
          <w:p w14:paraId="1EECD6B9" w14:textId="120407EA" w:rsidR="00AA2250" w:rsidRPr="00A16118" w:rsidRDefault="00FB707E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Myc</w:t>
            </w:r>
            <w:r w:rsidR="008D0242" w:rsidRPr="008D0242">
              <w:rPr>
                <w:rFonts w:ascii="Poppins" w:hAnsi="Poppins" w:cs="Poppins"/>
                <w:sz w:val="16"/>
                <w:szCs w:val="16"/>
              </w:rPr>
              <w:t>-Tag Monoclonal Antibody</w:t>
            </w:r>
          </w:p>
        </w:tc>
      </w:tr>
      <w:tr w:rsidR="00AA2250" w14:paraId="200F4189" w14:textId="77777777" w:rsidTr="00A16118">
        <w:tc>
          <w:tcPr>
            <w:tcW w:w="2605" w:type="dxa"/>
          </w:tcPr>
          <w:p w14:paraId="47F52909" w14:textId="273379DF" w:rsidR="00AA2250" w:rsidRPr="00AA2250" w:rsidRDefault="00AA2250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AA2250">
              <w:rPr>
                <w:rFonts w:ascii="Poppins" w:hAnsi="Poppins" w:cs="Poppins"/>
                <w:b/>
                <w:bCs/>
                <w:sz w:val="18"/>
                <w:szCs w:val="18"/>
              </w:rPr>
              <w:t>Catalog Number</w:t>
            </w:r>
          </w:p>
        </w:tc>
        <w:tc>
          <w:tcPr>
            <w:tcW w:w="8185" w:type="dxa"/>
          </w:tcPr>
          <w:p w14:paraId="233414D0" w14:textId="6B5707BE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 w:rsidRPr="008D0242">
              <w:rPr>
                <w:rFonts w:ascii="Poppins" w:hAnsi="Poppins" w:cs="Poppins"/>
                <w:sz w:val="16"/>
                <w:szCs w:val="16"/>
              </w:rPr>
              <w:t>ORF.</w:t>
            </w:r>
            <w:r w:rsidR="00FB707E">
              <w:rPr>
                <w:rFonts w:ascii="Poppins" w:hAnsi="Poppins" w:cs="Poppins"/>
                <w:sz w:val="16"/>
                <w:szCs w:val="16"/>
              </w:rPr>
              <w:t>MYC</w:t>
            </w:r>
            <w:r w:rsidRPr="008D0242">
              <w:rPr>
                <w:rFonts w:ascii="Poppins" w:hAnsi="Poppins" w:cs="Poppins"/>
                <w:sz w:val="16"/>
                <w:szCs w:val="16"/>
              </w:rPr>
              <w:t>MAB-50</w:t>
            </w:r>
          </w:p>
        </w:tc>
      </w:tr>
      <w:tr w:rsidR="00AA2250" w14:paraId="616A3D52" w14:textId="77777777" w:rsidTr="00A16118">
        <w:tc>
          <w:tcPr>
            <w:tcW w:w="2605" w:type="dxa"/>
          </w:tcPr>
          <w:p w14:paraId="0451F3AC" w14:textId="2343BC41" w:rsidR="00AA2250" w:rsidRPr="00AA2250" w:rsidRDefault="00AA2250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AA2250">
              <w:rPr>
                <w:rFonts w:ascii="Poppins" w:hAnsi="Poppins" w:cs="Poppins"/>
                <w:b/>
                <w:bCs/>
                <w:sz w:val="18"/>
                <w:szCs w:val="18"/>
              </w:rPr>
              <w:t>Size</w:t>
            </w:r>
          </w:p>
        </w:tc>
        <w:tc>
          <w:tcPr>
            <w:tcW w:w="8185" w:type="dxa"/>
          </w:tcPr>
          <w:p w14:paraId="56FDCB39" w14:textId="39DA9179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 w:rsidRPr="008D0242">
              <w:rPr>
                <w:rFonts w:ascii="Poppins" w:hAnsi="Poppins" w:cs="Poppins"/>
                <w:sz w:val="16"/>
                <w:szCs w:val="16"/>
              </w:rPr>
              <w:t xml:space="preserve">50 </w:t>
            </w:r>
            <w:r w:rsidRPr="008D0242">
              <w:rPr>
                <w:rFonts w:ascii="Cambria" w:hAnsi="Cambria" w:cs="Cambria"/>
                <w:sz w:val="16"/>
                <w:szCs w:val="16"/>
              </w:rPr>
              <w:t>μ</w:t>
            </w:r>
            <w:r w:rsidRPr="008D0242">
              <w:rPr>
                <w:rFonts w:ascii="Poppins" w:hAnsi="Poppins" w:cs="Poppins"/>
                <w:sz w:val="16"/>
                <w:szCs w:val="16"/>
              </w:rPr>
              <w:t>L</w:t>
            </w:r>
          </w:p>
        </w:tc>
      </w:tr>
      <w:tr w:rsidR="00AA2250" w14:paraId="73F51315" w14:textId="77777777" w:rsidTr="00A16118">
        <w:tc>
          <w:tcPr>
            <w:tcW w:w="2605" w:type="dxa"/>
          </w:tcPr>
          <w:p w14:paraId="43BF570B" w14:textId="297C0D31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Concentration</w:t>
            </w:r>
          </w:p>
        </w:tc>
        <w:tc>
          <w:tcPr>
            <w:tcW w:w="8185" w:type="dxa"/>
          </w:tcPr>
          <w:p w14:paraId="1E7B1C30" w14:textId="76293DC4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1 mg/mL</w:t>
            </w:r>
          </w:p>
        </w:tc>
      </w:tr>
      <w:tr w:rsidR="00AA2250" w14:paraId="57B355EC" w14:textId="77777777" w:rsidTr="00A16118">
        <w:tc>
          <w:tcPr>
            <w:tcW w:w="2605" w:type="dxa"/>
          </w:tcPr>
          <w:p w14:paraId="1BEA0EEF" w14:textId="2126622D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Clonality</w:t>
            </w:r>
          </w:p>
        </w:tc>
        <w:tc>
          <w:tcPr>
            <w:tcW w:w="8185" w:type="dxa"/>
          </w:tcPr>
          <w:p w14:paraId="7D4B9580" w14:textId="0E220FF5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Monoclonal</w:t>
            </w:r>
          </w:p>
        </w:tc>
      </w:tr>
      <w:tr w:rsidR="00AA2250" w14:paraId="32993EBA" w14:textId="77777777" w:rsidTr="00A16118">
        <w:tc>
          <w:tcPr>
            <w:tcW w:w="2605" w:type="dxa"/>
          </w:tcPr>
          <w:p w14:paraId="15F4137B" w14:textId="68F5B39A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Source</w:t>
            </w:r>
          </w:p>
        </w:tc>
        <w:tc>
          <w:tcPr>
            <w:tcW w:w="8185" w:type="dxa"/>
          </w:tcPr>
          <w:p w14:paraId="4F9C19DE" w14:textId="6A2F2115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Mouse</w:t>
            </w:r>
          </w:p>
        </w:tc>
      </w:tr>
      <w:tr w:rsidR="00AA2250" w14:paraId="3E22E375" w14:textId="77777777" w:rsidTr="00A16118">
        <w:tc>
          <w:tcPr>
            <w:tcW w:w="2605" w:type="dxa"/>
          </w:tcPr>
          <w:p w14:paraId="3C0840AF" w14:textId="2181AE23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Isotype</w:t>
            </w:r>
          </w:p>
        </w:tc>
        <w:tc>
          <w:tcPr>
            <w:tcW w:w="8185" w:type="dxa"/>
          </w:tcPr>
          <w:p w14:paraId="23A64E9F" w14:textId="53235758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IgG</w:t>
            </w:r>
          </w:p>
        </w:tc>
      </w:tr>
      <w:tr w:rsidR="00AA2250" w14:paraId="10B836A0" w14:textId="77777777" w:rsidTr="00A16118">
        <w:tc>
          <w:tcPr>
            <w:tcW w:w="2605" w:type="dxa"/>
          </w:tcPr>
          <w:p w14:paraId="5B7CD419" w14:textId="071D3F4F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Purification</w:t>
            </w:r>
          </w:p>
        </w:tc>
        <w:tc>
          <w:tcPr>
            <w:tcW w:w="8185" w:type="dxa"/>
          </w:tcPr>
          <w:p w14:paraId="5EE19FB1" w14:textId="6E1F2480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 xml:space="preserve">The antibody was purified by immunogen affinity chromatography. </w:t>
            </w:r>
          </w:p>
        </w:tc>
      </w:tr>
    </w:tbl>
    <w:p w14:paraId="20A7B789" w14:textId="5016E75C" w:rsidR="00AA2250" w:rsidRDefault="00833FE5" w:rsidP="00833FE5">
      <w:pPr>
        <w:tabs>
          <w:tab w:val="left" w:pos="2358"/>
        </w:tabs>
        <w:rPr>
          <w:rFonts w:ascii="Poppins" w:hAnsi="Poppins" w:cs="Poppins"/>
        </w:rPr>
      </w:pPr>
      <w:r>
        <w:rPr>
          <w:rFonts w:ascii="Poppins" w:hAnsi="Poppins" w:cs="Poppins"/>
        </w:rPr>
        <w:tab/>
      </w: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2605"/>
        <w:gridCol w:w="3960"/>
        <w:gridCol w:w="4225"/>
      </w:tblGrid>
      <w:tr w:rsidR="00097092" w14:paraId="07B37185" w14:textId="77777777" w:rsidTr="0013145D">
        <w:tc>
          <w:tcPr>
            <w:tcW w:w="6565" w:type="dxa"/>
            <w:gridSpan w:val="2"/>
            <w:shd w:val="clear" w:color="auto" w:fill="1C184D"/>
            <w:vAlign w:val="center"/>
          </w:tcPr>
          <w:p w14:paraId="25ABED27" w14:textId="426F0255" w:rsidR="00097092" w:rsidRDefault="00097092" w:rsidP="00C974A0">
            <w:pPr>
              <w:jc w:val="center"/>
              <w:rPr>
                <w:rFonts w:ascii="Poppins" w:hAnsi="Poppins" w:cs="Poppins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Description</w:t>
            </w:r>
          </w:p>
        </w:tc>
        <w:tc>
          <w:tcPr>
            <w:tcW w:w="4225" w:type="dxa"/>
            <w:shd w:val="clear" w:color="auto" w:fill="1C184D"/>
            <w:vAlign w:val="center"/>
          </w:tcPr>
          <w:p w14:paraId="4FB5ACCF" w14:textId="2879FED6" w:rsidR="00097092" w:rsidRDefault="00097092" w:rsidP="00C974A0">
            <w:pPr>
              <w:jc w:val="center"/>
              <w:rPr>
                <w:rFonts w:ascii="Poppins" w:hAnsi="Poppins" w:cs="Poppins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 xml:space="preserve">Product </w:t>
            </w:r>
            <w:r w:rsidR="0013145D"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Image</w:t>
            </w:r>
          </w:p>
        </w:tc>
      </w:tr>
      <w:tr w:rsidR="00097092" w14:paraId="7A79CF9F" w14:textId="77777777" w:rsidTr="00CB5440">
        <w:tc>
          <w:tcPr>
            <w:tcW w:w="6565" w:type="dxa"/>
            <w:gridSpan w:val="2"/>
          </w:tcPr>
          <w:p w14:paraId="65D4E8CA" w14:textId="77777777" w:rsidR="00CB5440" w:rsidRDefault="00CB5440" w:rsidP="0013145D">
            <w:pPr>
              <w:rPr>
                <w:rFonts w:ascii="Poppins" w:hAnsi="Poppins" w:cs="Poppins"/>
                <w:sz w:val="16"/>
                <w:szCs w:val="16"/>
              </w:rPr>
            </w:pPr>
          </w:p>
          <w:p w14:paraId="4C346FA3" w14:textId="77777777" w:rsidR="009B7B9F" w:rsidRPr="009B7B9F" w:rsidRDefault="009B7B9F" w:rsidP="009B7B9F">
            <w:pPr>
              <w:rPr>
                <w:rFonts w:ascii="Poppins" w:hAnsi="Poppins" w:cs="Poppins"/>
                <w:sz w:val="16"/>
                <w:szCs w:val="16"/>
              </w:rPr>
            </w:pPr>
            <w:r w:rsidRPr="009B7B9F">
              <w:rPr>
                <w:rFonts w:ascii="Poppins" w:hAnsi="Poppins" w:cs="Poppins"/>
                <w:sz w:val="16"/>
                <w:szCs w:val="16"/>
              </w:rPr>
              <w:t>The Myc tag is a short peptide sequence derived from the human c-Myc proto-oncogene product, a nuclear phosphoprotein involved in regulating cell cycle progression, apoptosis, and cellular transformation. In its native form, c-Myc functions by forming a heterodimer with the transcription factor MAX. This complex binds to the E-box DNA consensus sequence, controlling the transcription of specific target genes.</w:t>
            </w:r>
          </w:p>
          <w:p w14:paraId="12ABAC90" w14:textId="77777777" w:rsidR="009B7B9F" w:rsidRPr="009B7B9F" w:rsidRDefault="009B7B9F" w:rsidP="009B7B9F">
            <w:pPr>
              <w:rPr>
                <w:rFonts w:ascii="Poppins" w:hAnsi="Poppins" w:cs="Poppins"/>
                <w:sz w:val="16"/>
                <w:szCs w:val="16"/>
              </w:rPr>
            </w:pPr>
          </w:p>
          <w:p w14:paraId="5F07DCD0" w14:textId="77777777" w:rsidR="009B7B9F" w:rsidRPr="009B7B9F" w:rsidRDefault="009B7B9F" w:rsidP="009B7B9F">
            <w:pPr>
              <w:rPr>
                <w:rFonts w:ascii="Poppins" w:hAnsi="Poppins" w:cs="Poppins"/>
                <w:sz w:val="16"/>
                <w:szCs w:val="16"/>
              </w:rPr>
            </w:pPr>
            <w:r w:rsidRPr="009B7B9F">
              <w:rPr>
                <w:rFonts w:ascii="Poppins" w:hAnsi="Poppins" w:cs="Poppins"/>
                <w:sz w:val="16"/>
                <w:szCs w:val="16"/>
              </w:rPr>
              <w:t>The Myc gene is frequently amplified in various human cancers, and chromosomal translocations involving this gene are linked to conditions such as Burkitt lymphoma and multiple myeloma. Notably, c-Myc translation can initiate from both an upstream non-AUG (CUG) codon and a downstream AUG start site, producing two isoforms with distinct N-terminal regions.</w:t>
            </w:r>
          </w:p>
          <w:p w14:paraId="4BAF02DC" w14:textId="77777777" w:rsidR="009B7B9F" w:rsidRPr="009B7B9F" w:rsidRDefault="009B7B9F" w:rsidP="009B7B9F">
            <w:pPr>
              <w:rPr>
                <w:rFonts w:ascii="Poppins" w:hAnsi="Poppins" w:cs="Poppins"/>
                <w:sz w:val="16"/>
                <w:szCs w:val="16"/>
              </w:rPr>
            </w:pPr>
          </w:p>
          <w:p w14:paraId="0A16B983" w14:textId="140D8FF6" w:rsidR="00361FE2" w:rsidRDefault="009B7B9F" w:rsidP="009B7B9F">
            <w:pPr>
              <w:rPr>
                <w:rFonts w:ascii="Poppins" w:hAnsi="Poppins" w:cs="Poppins"/>
              </w:rPr>
            </w:pPr>
            <w:r w:rsidRPr="009B7B9F">
              <w:rPr>
                <w:rFonts w:ascii="Poppins" w:hAnsi="Poppins" w:cs="Poppins"/>
                <w:sz w:val="16"/>
                <w:szCs w:val="16"/>
              </w:rPr>
              <w:t>This monoclonal antibody specifically recognizes the Myc epitope, enabling reliable detection, localization, and purification of Myc-tagged recombinant proteins. It is ideal for applications including Western blotting, immunofluorescence, immunoprecipitation, and ELISA, offering high sensitivity and specificity for both native and denatured protein forms.</w:t>
            </w:r>
          </w:p>
        </w:tc>
        <w:tc>
          <w:tcPr>
            <w:tcW w:w="4225" w:type="dxa"/>
            <w:vAlign w:val="center"/>
          </w:tcPr>
          <w:p w14:paraId="279E77EB" w14:textId="6B20880E" w:rsidR="00097092" w:rsidRDefault="009B7B9F" w:rsidP="00CB5440">
            <w:pPr>
              <w:jc w:val="center"/>
              <w:rPr>
                <w:rFonts w:ascii="Poppins" w:hAnsi="Poppins" w:cs="Poppins"/>
              </w:rPr>
            </w:pPr>
            <w:r w:rsidRPr="009B7B9F">
              <w:rPr>
                <w:rFonts w:ascii="Poppins" w:hAnsi="Poppins" w:cs="Poppins"/>
              </w:rPr>
              <w:drawing>
                <wp:inline distT="0" distB="0" distL="0" distR="0" wp14:anchorId="5A106976" wp14:editId="42AAAEC1">
                  <wp:extent cx="1629002" cy="2505425"/>
                  <wp:effectExtent l="0" t="0" r="0" b="9525"/>
                  <wp:docPr id="17124935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49359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002" cy="250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D780ED" w14:textId="03773578" w:rsidR="001B5343" w:rsidRDefault="001B5343" w:rsidP="00CB5440">
            <w:pPr>
              <w:jc w:val="center"/>
              <w:rPr>
                <w:rFonts w:ascii="Poppins" w:hAnsi="Poppins" w:cs="Poppins"/>
              </w:rPr>
            </w:pPr>
          </w:p>
        </w:tc>
      </w:tr>
      <w:tr w:rsidR="00FF5DD9" w14:paraId="4AA6D969" w14:textId="77777777" w:rsidTr="00D45863">
        <w:tc>
          <w:tcPr>
            <w:tcW w:w="10790" w:type="dxa"/>
            <w:gridSpan w:val="3"/>
            <w:shd w:val="clear" w:color="auto" w:fill="1C184D"/>
          </w:tcPr>
          <w:p w14:paraId="5AAA19A6" w14:textId="39B0FE7B" w:rsidR="00FF5DD9" w:rsidRPr="00AA2250" w:rsidRDefault="00FF5DD9" w:rsidP="00D45863">
            <w:pPr>
              <w:jc w:val="center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Specifications</w:t>
            </w:r>
            <w:r w:rsidR="001B5343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 xml:space="preserve"> and Product Specific Information</w:t>
            </w:r>
          </w:p>
        </w:tc>
      </w:tr>
      <w:tr w:rsidR="00FF5DD9" w14:paraId="589A1B40" w14:textId="77777777" w:rsidTr="00D45863">
        <w:tc>
          <w:tcPr>
            <w:tcW w:w="2605" w:type="dxa"/>
          </w:tcPr>
          <w:p w14:paraId="7DEF5E64" w14:textId="3092BA09" w:rsidR="00FF5DD9" w:rsidRPr="00AA2250" w:rsidRDefault="001B5343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Applications</w:t>
            </w:r>
          </w:p>
        </w:tc>
        <w:tc>
          <w:tcPr>
            <w:tcW w:w="8185" w:type="dxa"/>
            <w:gridSpan w:val="2"/>
          </w:tcPr>
          <w:p w14:paraId="6FF43EBB" w14:textId="77777777" w:rsidR="00FF5DD9" w:rsidRDefault="001B5343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WB: 1:2000 – 1:5000</w:t>
            </w:r>
          </w:p>
          <w:p w14:paraId="4844B827" w14:textId="77777777" w:rsidR="001B5343" w:rsidRDefault="001B5343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IF/IC: 1:200 – 1:500</w:t>
            </w:r>
          </w:p>
          <w:p w14:paraId="63052CF2" w14:textId="4D161458" w:rsidR="001B5343" w:rsidRPr="00A16118" w:rsidRDefault="001B5343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lastRenderedPageBreak/>
              <w:t>IP: 1:100 – 1:200</w:t>
            </w:r>
          </w:p>
        </w:tc>
      </w:tr>
      <w:tr w:rsidR="00FF5DD9" w14:paraId="7D57C86C" w14:textId="77777777" w:rsidTr="00D45863">
        <w:tc>
          <w:tcPr>
            <w:tcW w:w="2605" w:type="dxa"/>
          </w:tcPr>
          <w:p w14:paraId="2B145033" w14:textId="6087870B" w:rsidR="00FF5DD9" w:rsidRPr="00AA2250" w:rsidRDefault="001B5343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lastRenderedPageBreak/>
              <w:t>Reactivity</w:t>
            </w:r>
          </w:p>
        </w:tc>
        <w:tc>
          <w:tcPr>
            <w:tcW w:w="8185" w:type="dxa"/>
            <w:gridSpan w:val="2"/>
          </w:tcPr>
          <w:p w14:paraId="45558839" w14:textId="0CD17ECC" w:rsidR="00FF5DD9" w:rsidRPr="00A16118" w:rsidRDefault="00A31997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N/A</w:t>
            </w:r>
          </w:p>
        </w:tc>
      </w:tr>
      <w:tr w:rsidR="00FF5DD9" w14:paraId="52B33F0D" w14:textId="77777777" w:rsidTr="00D45863">
        <w:tc>
          <w:tcPr>
            <w:tcW w:w="2605" w:type="dxa"/>
          </w:tcPr>
          <w:p w14:paraId="2BB0CFA5" w14:textId="6C747CD3" w:rsidR="00FF5DD9" w:rsidRPr="00AA2250" w:rsidRDefault="00A31997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Specificity</w:t>
            </w:r>
          </w:p>
        </w:tc>
        <w:tc>
          <w:tcPr>
            <w:tcW w:w="8185" w:type="dxa"/>
            <w:gridSpan w:val="2"/>
          </w:tcPr>
          <w:p w14:paraId="391AC2E3" w14:textId="6AE20279" w:rsidR="00FF5DD9" w:rsidRPr="00A16118" w:rsidRDefault="00A31997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 xml:space="preserve">Recognizes </w:t>
            </w:r>
            <w:r w:rsidR="009B7B9F">
              <w:rPr>
                <w:rFonts w:ascii="Poppins" w:hAnsi="Poppins" w:cs="Poppins"/>
                <w:sz w:val="16"/>
                <w:szCs w:val="16"/>
              </w:rPr>
              <w:t>Myc</w:t>
            </w:r>
            <w:r>
              <w:rPr>
                <w:rFonts w:ascii="Poppins" w:hAnsi="Poppins" w:cs="Poppins"/>
                <w:sz w:val="16"/>
                <w:szCs w:val="16"/>
              </w:rPr>
              <w:t>-tag fusion proteins</w:t>
            </w:r>
          </w:p>
        </w:tc>
      </w:tr>
      <w:tr w:rsidR="00A31997" w14:paraId="78814473" w14:textId="77777777" w:rsidTr="00D45863">
        <w:tc>
          <w:tcPr>
            <w:tcW w:w="2605" w:type="dxa"/>
          </w:tcPr>
          <w:p w14:paraId="74BCF1E6" w14:textId="5056F6A3" w:rsidR="00A31997" w:rsidRDefault="00732A62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Immunogen</w:t>
            </w:r>
          </w:p>
        </w:tc>
        <w:tc>
          <w:tcPr>
            <w:tcW w:w="8185" w:type="dxa"/>
            <w:gridSpan w:val="2"/>
          </w:tcPr>
          <w:p w14:paraId="71A36285" w14:textId="3C17D545" w:rsidR="00732A62" w:rsidRPr="00732A62" w:rsidRDefault="00732A62" w:rsidP="00732A62">
            <w:pPr>
              <w:rPr>
                <w:rFonts w:ascii="Poppins" w:hAnsi="Poppins" w:cs="Poppins"/>
                <w:sz w:val="16"/>
                <w:szCs w:val="16"/>
              </w:rPr>
            </w:pPr>
            <w:r w:rsidRPr="00732A62">
              <w:rPr>
                <w:rFonts w:ascii="Poppins" w:hAnsi="Poppins" w:cs="Poppins"/>
                <w:sz w:val="16"/>
                <w:szCs w:val="16"/>
              </w:rPr>
              <w:t xml:space="preserve">KLH-conjugated synthetic peptide encompassing a sequence of </w:t>
            </w:r>
            <w:r w:rsidR="009B7B9F">
              <w:rPr>
                <w:rFonts w:ascii="Poppins" w:hAnsi="Poppins" w:cs="Poppins"/>
                <w:sz w:val="16"/>
                <w:szCs w:val="16"/>
              </w:rPr>
              <w:t>Myc</w:t>
            </w:r>
            <w:r w:rsidRPr="00732A62">
              <w:rPr>
                <w:rFonts w:ascii="Poppins" w:hAnsi="Poppins" w:cs="Poppins"/>
                <w:sz w:val="16"/>
                <w:szCs w:val="16"/>
              </w:rPr>
              <w:t>-tag.</w:t>
            </w:r>
          </w:p>
          <w:p w14:paraId="0F98EB23" w14:textId="50BC8019" w:rsidR="00A31997" w:rsidRDefault="00732A62" w:rsidP="00732A62">
            <w:pPr>
              <w:rPr>
                <w:rFonts w:ascii="Poppins" w:hAnsi="Poppins" w:cs="Poppins"/>
                <w:sz w:val="16"/>
                <w:szCs w:val="16"/>
              </w:rPr>
            </w:pPr>
            <w:r w:rsidRPr="00732A62">
              <w:rPr>
                <w:rFonts w:ascii="Poppins" w:hAnsi="Poppins" w:cs="Poppins"/>
                <w:sz w:val="16"/>
                <w:szCs w:val="16"/>
              </w:rPr>
              <w:t>The exact sequence is proprietary</w:t>
            </w:r>
            <w:r>
              <w:rPr>
                <w:rFonts w:ascii="Poppins" w:hAnsi="Poppins" w:cs="Poppins"/>
                <w:sz w:val="16"/>
                <w:szCs w:val="16"/>
              </w:rPr>
              <w:t>.</w:t>
            </w:r>
          </w:p>
        </w:tc>
      </w:tr>
      <w:tr w:rsidR="00732A62" w14:paraId="0C8636BC" w14:textId="77777777" w:rsidTr="00D45863">
        <w:tc>
          <w:tcPr>
            <w:tcW w:w="2605" w:type="dxa"/>
          </w:tcPr>
          <w:p w14:paraId="71DB97C9" w14:textId="5E57CEC9" w:rsidR="00732A62" w:rsidRDefault="00732A62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Description</w:t>
            </w:r>
          </w:p>
        </w:tc>
        <w:tc>
          <w:tcPr>
            <w:tcW w:w="8185" w:type="dxa"/>
            <w:gridSpan w:val="2"/>
          </w:tcPr>
          <w:p w14:paraId="105AF56E" w14:textId="5701608E" w:rsidR="00732A62" w:rsidRPr="00732A62" w:rsidRDefault="00732A62" w:rsidP="00732A62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 xml:space="preserve">Mouse monoclonal antibody to </w:t>
            </w:r>
            <w:r w:rsidR="009B7B9F">
              <w:rPr>
                <w:rFonts w:ascii="Poppins" w:hAnsi="Poppins" w:cs="Poppins"/>
                <w:sz w:val="16"/>
                <w:szCs w:val="16"/>
              </w:rPr>
              <w:t>Myc</w:t>
            </w:r>
            <w:r>
              <w:rPr>
                <w:rFonts w:ascii="Poppins" w:hAnsi="Poppins" w:cs="Poppins"/>
                <w:sz w:val="16"/>
                <w:szCs w:val="16"/>
              </w:rPr>
              <w:t>-tag</w:t>
            </w:r>
          </w:p>
        </w:tc>
      </w:tr>
      <w:tr w:rsidR="00732A62" w14:paraId="6C301CDE" w14:textId="77777777" w:rsidTr="00D45863">
        <w:tc>
          <w:tcPr>
            <w:tcW w:w="2605" w:type="dxa"/>
          </w:tcPr>
          <w:p w14:paraId="0F4FE7BD" w14:textId="5937BB56" w:rsidR="00732A62" w:rsidRDefault="00732A62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Buffer</w:t>
            </w:r>
          </w:p>
        </w:tc>
        <w:tc>
          <w:tcPr>
            <w:tcW w:w="8185" w:type="dxa"/>
            <w:gridSpan w:val="2"/>
          </w:tcPr>
          <w:p w14:paraId="0779F170" w14:textId="05B6D5C6" w:rsidR="00732A62" w:rsidRDefault="00732A62" w:rsidP="00732A62">
            <w:pPr>
              <w:rPr>
                <w:rFonts w:ascii="Poppins" w:hAnsi="Poppins" w:cs="Poppins"/>
                <w:sz w:val="16"/>
                <w:szCs w:val="16"/>
              </w:rPr>
            </w:pPr>
            <w:r w:rsidRPr="00732A62">
              <w:rPr>
                <w:rFonts w:ascii="Poppins" w:hAnsi="Poppins" w:cs="Poppins"/>
                <w:sz w:val="16"/>
                <w:szCs w:val="16"/>
              </w:rPr>
              <w:t>Liquid in 0.42% Potassium phosphate, 0.87% Sodium chloride, pH 7.3, 30%</w:t>
            </w:r>
            <w:r w:rsidR="00BB0E5B">
              <w:rPr>
                <w:rFonts w:ascii="Poppins" w:hAnsi="Poppins" w:cs="Poppins"/>
                <w:sz w:val="16"/>
                <w:szCs w:val="16"/>
              </w:rPr>
              <w:t xml:space="preserve"> </w:t>
            </w:r>
            <w:r w:rsidRPr="00732A62">
              <w:rPr>
                <w:rFonts w:ascii="Poppins" w:hAnsi="Poppins" w:cs="Poppins"/>
                <w:sz w:val="16"/>
                <w:szCs w:val="16"/>
              </w:rPr>
              <w:t>glycerol, and 0.01% sodium azide</w:t>
            </w:r>
            <w:r>
              <w:rPr>
                <w:rFonts w:ascii="Poppins" w:hAnsi="Poppins" w:cs="Poppins"/>
                <w:sz w:val="16"/>
                <w:szCs w:val="16"/>
              </w:rPr>
              <w:t>.</w:t>
            </w:r>
          </w:p>
        </w:tc>
      </w:tr>
    </w:tbl>
    <w:p w14:paraId="3BA0E15C" w14:textId="77777777" w:rsidR="003A57E7" w:rsidRDefault="003A57E7" w:rsidP="00AA2250">
      <w:pPr>
        <w:rPr>
          <w:rFonts w:ascii="Poppins" w:hAnsi="Poppins" w:cs="Poppins"/>
        </w:rPr>
      </w:pP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3A57E7" w14:paraId="5F112FB2" w14:textId="77777777" w:rsidTr="00D45863">
        <w:tc>
          <w:tcPr>
            <w:tcW w:w="10790" w:type="dxa"/>
            <w:gridSpan w:val="3"/>
            <w:shd w:val="clear" w:color="auto" w:fill="1C184D"/>
          </w:tcPr>
          <w:p w14:paraId="35DFA030" w14:textId="2A073161" w:rsidR="003A57E7" w:rsidRPr="00AA2250" w:rsidRDefault="003A57E7" w:rsidP="00D45863">
            <w:pPr>
              <w:jc w:val="center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Storage and Stability</w:t>
            </w:r>
          </w:p>
        </w:tc>
      </w:tr>
      <w:tr w:rsidR="00016DFC" w14:paraId="5D6E07F3" w14:textId="77777777" w:rsidTr="00446A3D">
        <w:trPr>
          <w:trHeight w:val="242"/>
        </w:trPr>
        <w:tc>
          <w:tcPr>
            <w:tcW w:w="3596" w:type="dxa"/>
          </w:tcPr>
          <w:p w14:paraId="77B2C4ED" w14:textId="66D47C22" w:rsidR="00016DFC" w:rsidRPr="00016DFC" w:rsidRDefault="00016DF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</w:tc>
        <w:tc>
          <w:tcPr>
            <w:tcW w:w="3597" w:type="dxa"/>
          </w:tcPr>
          <w:p w14:paraId="00A27182" w14:textId="7C8943CB" w:rsidR="00016DFC" w:rsidRPr="00016DFC" w:rsidRDefault="00016DF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Temperature</w:t>
            </w:r>
          </w:p>
        </w:tc>
        <w:tc>
          <w:tcPr>
            <w:tcW w:w="3597" w:type="dxa"/>
          </w:tcPr>
          <w:p w14:paraId="3E765A2B" w14:textId="0FF742CF" w:rsidR="00016DFC" w:rsidRPr="00016DFC" w:rsidRDefault="00016DF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Storage Time</w:t>
            </w:r>
          </w:p>
        </w:tc>
      </w:tr>
      <w:tr w:rsidR="00016DFC" w14:paraId="2C00FB79" w14:textId="77777777" w:rsidTr="00446A3D">
        <w:trPr>
          <w:trHeight w:val="240"/>
        </w:trPr>
        <w:tc>
          <w:tcPr>
            <w:tcW w:w="3596" w:type="dxa"/>
          </w:tcPr>
          <w:p w14:paraId="724A7231" w14:textId="0A6C8B19" w:rsidR="00016DFC" w:rsidRPr="003A57E7" w:rsidRDefault="00C43CFD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Short Term</w:t>
            </w:r>
          </w:p>
        </w:tc>
        <w:tc>
          <w:tcPr>
            <w:tcW w:w="3597" w:type="dxa"/>
          </w:tcPr>
          <w:p w14:paraId="2D0BB7E4" w14:textId="46D762C5" w:rsidR="00016DFC" w:rsidRPr="00E02670" w:rsidRDefault="00E02670" w:rsidP="00D45863">
            <w:pPr>
              <w:rPr>
                <w:rFonts w:ascii="Poppins" w:hAnsi="Poppins" w:cs="Poppins"/>
                <w:sz w:val="18"/>
                <w:szCs w:val="18"/>
              </w:rPr>
            </w:pPr>
            <w:r w:rsidRPr="00E02670">
              <w:rPr>
                <w:rFonts w:ascii="Poppins" w:hAnsi="Poppins" w:cs="Poppins"/>
                <w:sz w:val="18"/>
                <w:szCs w:val="18"/>
              </w:rPr>
              <w:t>4°C</w:t>
            </w:r>
          </w:p>
        </w:tc>
        <w:tc>
          <w:tcPr>
            <w:tcW w:w="3597" w:type="dxa"/>
          </w:tcPr>
          <w:p w14:paraId="2AB9911E" w14:textId="0E3F1C8D" w:rsidR="00016DFC" w:rsidRPr="00E02670" w:rsidRDefault="00E02670" w:rsidP="00D45863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1 month</w:t>
            </w:r>
          </w:p>
        </w:tc>
      </w:tr>
      <w:tr w:rsidR="00016DFC" w14:paraId="1932EC40" w14:textId="77777777" w:rsidTr="00446A3D">
        <w:trPr>
          <w:trHeight w:val="240"/>
        </w:trPr>
        <w:tc>
          <w:tcPr>
            <w:tcW w:w="3596" w:type="dxa"/>
          </w:tcPr>
          <w:p w14:paraId="57B25920" w14:textId="7C8E9F54" w:rsidR="00016DFC" w:rsidRPr="003A57E7" w:rsidRDefault="00C43CFD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Long Term</w:t>
            </w:r>
          </w:p>
        </w:tc>
        <w:tc>
          <w:tcPr>
            <w:tcW w:w="3597" w:type="dxa"/>
          </w:tcPr>
          <w:p w14:paraId="7012180F" w14:textId="4D311F5E" w:rsidR="00016DFC" w:rsidRPr="00E02670" w:rsidRDefault="00E02670" w:rsidP="00D45863">
            <w:pPr>
              <w:rPr>
                <w:rFonts w:ascii="Poppins" w:hAnsi="Poppins" w:cs="Poppins"/>
                <w:sz w:val="18"/>
                <w:szCs w:val="18"/>
              </w:rPr>
            </w:pPr>
            <w:r w:rsidRPr="00E02670">
              <w:rPr>
                <w:rFonts w:ascii="Poppins" w:hAnsi="Poppins" w:cs="Poppins"/>
                <w:sz w:val="18"/>
                <w:szCs w:val="18"/>
              </w:rPr>
              <w:t>-20°C</w:t>
            </w:r>
          </w:p>
        </w:tc>
        <w:tc>
          <w:tcPr>
            <w:tcW w:w="3597" w:type="dxa"/>
          </w:tcPr>
          <w:p w14:paraId="3CBC270D" w14:textId="6BDCFEE3" w:rsidR="00016DFC" w:rsidRPr="00E02670" w:rsidRDefault="00E02670" w:rsidP="00D45863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12 months</w:t>
            </w:r>
          </w:p>
        </w:tc>
      </w:tr>
      <w:tr w:rsidR="00E02670" w14:paraId="3885C772" w14:textId="77777777" w:rsidTr="00165136">
        <w:trPr>
          <w:trHeight w:val="240"/>
        </w:trPr>
        <w:tc>
          <w:tcPr>
            <w:tcW w:w="10790" w:type="dxa"/>
            <w:gridSpan w:val="3"/>
          </w:tcPr>
          <w:p w14:paraId="519E1483" w14:textId="2E679686" w:rsidR="00E02670" w:rsidRPr="003A57E7" w:rsidRDefault="00E02670" w:rsidP="00E02670">
            <w:pPr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Avoid repeated freeze-thaw cycles.</w:t>
            </w:r>
          </w:p>
        </w:tc>
      </w:tr>
    </w:tbl>
    <w:p w14:paraId="7D630B0B" w14:textId="77777777" w:rsidR="00016DFC" w:rsidRDefault="00016DFC" w:rsidP="00AA2250">
      <w:pPr>
        <w:rPr>
          <w:rFonts w:ascii="Poppins" w:hAnsi="Poppins" w:cs="Poppins"/>
        </w:rPr>
      </w:pP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10790"/>
      </w:tblGrid>
      <w:tr w:rsidR="00016DFC" w14:paraId="4BF6068D" w14:textId="77777777" w:rsidTr="00D45863">
        <w:tc>
          <w:tcPr>
            <w:tcW w:w="10790" w:type="dxa"/>
            <w:shd w:val="clear" w:color="auto" w:fill="1C184D"/>
          </w:tcPr>
          <w:p w14:paraId="19B4E65C" w14:textId="3663E438" w:rsidR="00016DFC" w:rsidRPr="00AA2250" w:rsidRDefault="00E02670" w:rsidP="00D45863">
            <w:pPr>
              <w:jc w:val="center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Data</w:t>
            </w:r>
          </w:p>
        </w:tc>
      </w:tr>
      <w:tr w:rsidR="00016DFC" w14:paraId="01E4F313" w14:textId="77777777" w:rsidTr="00647449">
        <w:trPr>
          <w:trHeight w:val="1284"/>
        </w:trPr>
        <w:tc>
          <w:tcPr>
            <w:tcW w:w="10790" w:type="dxa"/>
          </w:tcPr>
          <w:p w14:paraId="7B724028" w14:textId="1111C8D5" w:rsidR="00C74E48" w:rsidRDefault="00B61690" w:rsidP="00647449">
            <w:pPr>
              <w:jc w:val="center"/>
              <w:rPr>
                <w:rFonts w:ascii="Poppins" w:hAnsi="Poppins" w:cs="Poppins"/>
                <w:noProof/>
              </w:rPr>
            </w:pPr>
            <w:r>
              <w:rPr>
                <w:rFonts w:ascii="Poppins" w:hAnsi="Poppins" w:cs="Poppins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58240" behindDoc="0" locked="0" layoutInCell="1" allowOverlap="1" wp14:anchorId="40DEBDEA" wp14:editId="27673020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13970</wp:posOffset>
                  </wp:positionV>
                  <wp:extent cx="2343785" cy="2362835"/>
                  <wp:effectExtent l="0" t="0" r="0" b="0"/>
                  <wp:wrapThrough wrapText="bothSides">
                    <wp:wrapPolygon edited="0">
                      <wp:start x="0" y="0"/>
                      <wp:lineTo x="0" y="21420"/>
                      <wp:lineTo x="21419" y="21420"/>
                      <wp:lineTo x="21419" y="0"/>
                      <wp:lineTo x="0" y="0"/>
                    </wp:wrapPolygon>
                  </wp:wrapThrough>
                  <wp:docPr id="1657801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785" cy="2362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D499C5" w14:textId="74F5B446" w:rsidR="00016DFC" w:rsidRDefault="00016DFC" w:rsidP="004D17E9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  <w:p w14:paraId="5DD15361" w14:textId="712B91EC" w:rsidR="0047579A" w:rsidRDefault="0047579A" w:rsidP="0047579A">
            <w:pPr>
              <w:rPr>
                <w:rFonts w:ascii="Poppins" w:hAnsi="Poppins" w:cs="Poppins"/>
                <w:sz w:val="18"/>
                <w:szCs w:val="18"/>
              </w:rPr>
            </w:pPr>
            <w:r w:rsidRPr="0047579A">
              <w:rPr>
                <w:rFonts w:ascii="Poppins" w:hAnsi="Poppins" w:cs="Poppins"/>
                <w:sz w:val="18"/>
                <w:szCs w:val="18"/>
              </w:rPr>
              <w:t xml:space="preserve">Immunofluorescent analysis of </w:t>
            </w:r>
            <w:r w:rsidR="00B61690">
              <w:rPr>
                <w:rFonts w:ascii="Poppins" w:hAnsi="Poppins" w:cs="Poppins"/>
                <w:sz w:val="18"/>
                <w:szCs w:val="18"/>
              </w:rPr>
              <w:t>Myc</w:t>
            </w:r>
            <w:r w:rsidRPr="0047579A">
              <w:rPr>
                <w:rFonts w:ascii="Poppins" w:hAnsi="Poppins" w:cs="Poppins"/>
                <w:sz w:val="18"/>
                <w:szCs w:val="18"/>
              </w:rPr>
              <w:t>-tag staining in 293T cells transfected with a</w:t>
            </w:r>
            <w:r w:rsidR="009A0D0C">
              <w:rPr>
                <w:rFonts w:ascii="Poppins" w:hAnsi="Poppins" w:cs="Poppins"/>
                <w:sz w:val="18"/>
                <w:szCs w:val="18"/>
              </w:rPr>
              <w:t xml:space="preserve"> </w:t>
            </w:r>
            <w:r w:rsidR="00B61690">
              <w:rPr>
                <w:rFonts w:ascii="Poppins" w:hAnsi="Poppins" w:cs="Poppins"/>
                <w:sz w:val="18"/>
                <w:szCs w:val="18"/>
              </w:rPr>
              <w:t>Myc</w:t>
            </w:r>
            <w:r w:rsidRPr="0047579A">
              <w:rPr>
                <w:rFonts w:ascii="Poppins" w:hAnsi="Poppins" w:cs="Poppins"/>
                <w:sz w:val="18"/>
                <w:szCs w:val="18"/>
              </w:rPr>
              <w:t>-tag protein. Formalin-fixed cells were permeabilized with 0.1% Triton X-100 in TBS for 5-10 minutes and blocked with 3% BSA-PBS for 30 minutes at room temperature. Cells were probed with the primary antibody in 3% BSA-PBS and incubated overnight. at 4 °C in a humidified chamber. Cells were washed with PBST and incubated with a DyLight 594-conjugated secondary antibody (red) in PBS at room temperature in the dark. DAPI was used to stain the cell nuclei (blue).</w:t>
            </w:r>
          </w:p>
          <w:p w14:paraId="5D466542" w14:textId="77777777" w:rsidR="00B61690" w:rsidRDefault="00B61690" w:rsidP="0047579A">
            <w:pPr>
              <w:rPr>
                <w:rFonts w:ascii="Poppins" w:hAnsi="Poppins" w:cs="Poppins"/>
                <w:sz w:val="18"/>
                <w:szCs w:val="18"/>
              </w:rPr>
            </w:pPr>
          </w:p>
          <w:p w14:paraId="2FC1BDA8" w14:textId="77777777" w:rsidR="00B61690" w:rsidRDefault="00B61690" w:rsidP="0047579A">
            <w:pPr>
              <w:rPr>
                <w:rFonts w:ascii="Poppins" w:hAnsi="Poppins" w:cs="Poppins"/>
                <w:sz w:val="18"/>
                <w:szCs w:val="18"/>
              </w:rPr>
            </w:pPr>
          </w:p>
          <w:p w14:paraId="23755EA2" w14:textId="77777777" w:rsidR="00B61690" w:rsidRPr="0047579A" w:rsidRDefault="00B61690" w:rsidP="0047579A">
            <w:pPr>
              <w:rPr>
                <w:rFonts w:ascii="Poppins" w:hAnsi="Poppins" w:cs="Poppins"/>
                <w:sz w:val="18"/>
                <w:szCs w:val="18"/>
              </w:rPr>
            </w:pPr>
          </w:p>
          <w:p w14:paraId="0EC6F656" w14:textId="33C72F67" w:rsidR="00C74E48" w:rsidRPr="00016DFC" w:rsidRDefault="00C74E48" w:rsidP="00647449">
            <w:pPr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</w:tc>
      </w:tr>
    </w:tbl>
    <w:p w14:paraId="5183B934" w14:textId="77777777" w:rsidR="00787FB1" w:rsidRPr="00787FB1" w:rsidRDefault="00787FB1" w:rsidP="00787FB1">
      <w:pPr>
        <w:rPr>
          <w:rFonts w:ascii="Poppins" w:hAnsi="Poppins" w:cs="Poppins"/>
        </w:rPr>
      </w:pPr>
    </w:p>
    <w:p w14:paraId="44635467" w14:textId="55B28459" w:rsidR="00787FB1" w:rsidRPr="00787FB1" w:rsidRDefault="00787FB1" w:rsidP="00787FB1">
      <w:pPr>
        <w:tabs>
          <w:tab w:val="left" w:pos="2383"/>
        </w:tabs>
        <w:rPr>
          <w:rFonts w:ascii="Poppins" w:hAnsi="Poppins" w:cs="Poppins"/>
        </w:rPr>
      </w:pPr>
    </w:p>
    <w:sectPr w:rsidR="00787FB1" w:rsidRPr="00787FB1" w:rsidSect="000C3396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7C3368" w14:textId="77777777" w:rsidR="008654F9" w:rsidRDefault="008654F9" w:rsidP="007400AE">
      <w:pPr>
        <w:spacing w:after="0" w:line="240" w:lineRule="auto"/>
      </w:pPr>
      <w:r>
        <w:separator/>
      </w:r>
    </w:p>
  </w:endnote>
  <w:endnote w:type="continuationSeparator" w:id="0">
    <w:p w14:paraId="53E1A626" w14:textId="77777777" w:rsidR="008654F9" w:rsidRDefault="008654F9" w:rsidP="00740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80"/>
      <w:gridCol w:w="5040"/>
      <w:gridCol w:w="2880"/>
    </w:tblGrid>
    <w:tr w:rsidR="007B23EE" w14:paraId="1F9866B6" w14:textId="77777777" w:rsidTr="000C3396">
      <w:tc>
        <w:tcPr>
          <w:tcW w:w="10800" w:type="dxa"/>
          <w:gridSpan w:val="3"/>
        </w:tcPr>
        <w:p w14:paraId="6EE44E6F" w14:textId="78CA4856" w:rsidR="007B23EE" w:rsidRPr="00AF3AA8" w:rsidRDefault="002053FF" w:rsidP="007B23EE">
          <w:pPr>
            <w:pStyle w:val="Footer"/>
            <w:jc w:val="center"/>
            <w:rPr>
              <w:rFonts w:ascii="Poppins" w:hAnsi="Poppins" w:cs="Poppins"/>
              <w:i/>
              <w:iCs/>
              <w:sz w:val="16"/>
              <w:szCs w:val="16"/>
            </w:rPr>
          </w:pPr>
          <w:r>
            <w:rPr>
              <w:rFonts w:ascii="Poppins" w:hAnsi="Poppins" w:cs="Poppins"/>
              <w:i/>
              <w:iCs/>
              <w:sz w:val="20"/>
              <w:szCs w:val="20"/>
            </w:rPr>
            <w:br/>
          </w:r>
          <w:r w:rsidR="007B23EE" w:rsidRPr="00AF3AA8">
            <w:rPr>
              <w:rFonts w:ascii="Poppins" w:hAnsi="Poppins" w:cs="Poppins"/>
              <w:i/>
              <w:iCs/>
              <w:sz w:val="16"/>
              <w:szCs w:val="16"/>
            </w:rPr>
            <w:t>For research applications only. Not for diagnostic or therapeutic use.</w:t>
          </w:r>
        </w:p>
        <w:p w14:paraId="0A02919A" w14:textId="2D1DD119" w:rsidR="007B23EE" w:rsidRPr="007B23EE" w:rsidRDefault="000656AB" w:rsidP="000656AB">
          <w:pPr>
            <w:pStyle w:val="Footer"/>
            <w:tabs>
              <w:tab w:val="clear" w:pos="9360"/>
              <w:tab w:val="left" w:pos="8393"/>
            </w:tabs>
            <w:rPr>
              <w:rFonts w:ascii="Poppins" w:hAnsi="Poppins" w:cs="Poppins"/>
              <w:sz w:val="20"/>
              <w:szCs w:val="20"/>
            </w:rPr>
          </w:pPr>
          <w:r>
            <w:rPr>
              <w:rFonts w:ascii="Poppins" w:hAnsi="Poppins" w:cs="Poppins"/>
              <w:sz w:val="20"/>
              <w:szCs w:val="20"/>
            </w:rPr>
            <w:tab/>
          </w:r>
          <w:r>
            <w:rPr>
              <w:rFonts w:ascii="Poppins" w:hAnsi="Poppins" w:cs="Poppins"/>
              <w:sz w:val="20"/>
              <w:szCs w:val="20"/>
            </w:rPr>
            <w:tab/>
          </w:r>
        </w:p>
      </w:tc>
    </w:tr>
    <w:tr w:rsidR="008129FE" w14:paraId="21B17123" w14:textId="77777777" w:rsidTr="00AF3AA8">
      <w:tc>
        <w:tcPr>
          <w:tcW w:w="2880" w:type="dxa"/>
        </w:tcPr>
        <w:p w14:paraId="248019C1" w14:textId="25E78AFB" w:rsidR="007B23EE" w:rsidRPr="007B23EE" w:rsidRDefault="007B23EE" w:rsidP="007B23EE">
          <w:pPr>
            <w:pStyle w:val="Footer"/>
            <w:rPr>
              <w:rFonts w:ascii="Poppins" w:hAnsi="Poppins" w:cs="Poppins"/>
              <w:sz w:val="20"/>
              <w:szCs w:val="20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t>ORF Biologics</w:t>
          </w:r>
          <w:r w:rsidRPr="007B23EE">
            <w:rPr>
              <w:rFonts w:ascii="Poppins" w:hAnsi="Poppins" w:cs="Poppins"/>
              <w:sz w:val="20"/>
              <w:szCs w:val="20"/>
            </w:rPr>
            <w:tab/>
          </w:r>
          <w:r w:rsidR="00AF3AA8">
            <w:rPr>
              <w:rFonts w:ascii="Poppins" w:hAnsi="Poppins" w:cs="Poppins"/>
              <w:sz w:val="20"/>
              <w:szCs w:val="20"/>
            </w:rPr>
            <w:br/>
          </w:r>
          <w:r w:rsidRPr="007B23EE">
            <w:rPr>
              <w:rFonts w:ascii="Poppins" w:hAnsi="Poppins" w:cs="Poppins"/>
              <w:sz w:val="20"/>
              <w:szCs w:val="20"/>
            </w:rPr>
            <w:t>1110 Tall Grass Ave.</w:t>
          </w:r>
        </w:p>
        <w:p w14:paraId="7D1A33CA" w14:textId="6168D8DA" w:rsidR="008129FE" w:rsidRDefault="007B23EE" w:rsidP="007B23EE">
          <w:pPr>
            <w:pStyle w:val="Footer"/>
            <w:rPr>
              <w:rFonts w:ascii="Poppins" w:hAnsi="Poppins" w:cs="Poppins"/>
              <w:sz w:val="16"/>
              <w:szCs w:val="16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t>Tiffin, IA 52340</w:t>
          </w:r>
        </w:p>
      </w:tc>
      <w:tc>
        <w:tcPr>
          <w:tcW w:w="5040" w:type="dxa"/>
        </w:tcPr>
        <w:p w14:paraId="7141C803" w14:textId="7C63C2EB" w:rsidR="008129FE" w:rsidRPr="007B23EE" w:rsidRDefault="007B23EE" w:rsidP="00AF3AA8">
          <w:pPr>
            <w:pStyle w:val="Footer"/>
            <w:jc w:val="center"/>
            <w:rPr>
              <w:rFonts w:ascii="Poppins" w:hAnsi="Poppins" w:cs="Poppins"/>
              <w:sz w:val="20"/>
              <w:szCs w:val="20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fldChar w:fldCharType="begin"/>
          </w:r>
          <w:r w:rsidRPr="007B23EE">
            <w:rPr>
              <w:rFonts w:ascii="Poppins" w:hAnsi="Poppins" w:cs="Poppins"/>
              <w:sz w:val="20"/>
              <w:szCs w:val="20"/>
            </w:rPr>
            <w:instrText xml:space="preserve"> PAGE   \* MERGEFORMAT </w:instrText>
          </w:r>
          <w:r w:rsidRPr="007B23EE">
            <w:rPr>
              <w:rFonts w:ascii="Poppins" w:hAnsi="Poppins" w:cs="Poppins"/>
              <w:sz w:val="20"/>
              <w:szCs w:val="20"/>
            </w:rPr>
            <w:fldChar w:fldCharType="separate"/>
          </w:r>
          <w:r w:rsidRPr="007B23EE">
            <w:rPr>
              <w:rFonts w:ascii="Poppins" w:hAnsi="Poppins" w:cs="Poppins"/>
              <w:noProof/>
              <w:sz w:val="20"/>
              <w:szCs w:val="20"/>
            </w:rPr>
            <w:t>1</w:t>
          </w:r>
          <w:r w:rsidRPr="007B23EE">
            <w:rPr>
              <w:rFonts w:ascii="Poppins" w:hAnsi="Poppins" w:cs="Poppins"/>
              <w:noProof/>
              <w:sz w:val="20"/>
              <w:szCs w:val="20"/>
            </w:rPr>
            <w:fldChar w:fldCharType="end"/>
          </w:r>
        </w:p>
      </w:tc>
      <w:tc>
        <w:tcPr>
          <w:tcW w:w="2880" w:type="dxa"/>
        </w:tcPr>
        <w:p w14:paraId="03A31035" w14:textId="4AFEE672" w:rsidR="008129FE" w:rsidRPr="007B23EE" w:rsidRDefault="007B23EE" w:rsidP="002053FF">
          <w:pPr>
            <w:pStyle w:val="Footer"/>
            <w:rPr>
              <w:rFonts w:ascii="Poppins" w:hAnsi="Poppins" w:cs="Poppins"/>
              <w:sz w:val="20"/>
              <w:szCs w:val="20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t>orfbiologics.com</w:t>
          </w:r>
          <w:r>
            <w:rPr>
              <w:rFonts w:ascii="Poppins" w:hAnsi="Poppins" w:cs="Poppins"/>
              <w:sz w:val="20"/>
              <w:szCs w:val="20"/>
            </w:rPr>
            <w:br/>
          </w:r>
          <w:r w:rsidRPr="007B23EE">
            <w:rPr>
              <w:rFonts w:ascii="Poppins" w:hAnsi="Poppins" w:cs="Poppins"/>
              <w:sz w:val="20"/>
              <w:szCs w:val="20"/>
            </w:rPr>
            <w:t>contact@orfbiologics.com</w:t>
          </w:r>
        </w:p>
      </w:tc>
    </w:tr>
  </w:tbl>
  <w:p w14:paraId="2E2E390F" w14:textId="10810ED9" w:rsidR="007400AE" w:rsidRPr="0027774C" w:rsidRDefault="00000000" w:rsidP="005F0A8E">
    <w:pPr>
      <w:pStyle w:val="Footer"/>
      <w:rPr>
        <w:rFonts w:ascii="Poppins" w:hAnsi="Poppins" w:cs="Poppins"/>
        <w:sz w:val="16"/>
        <w:szCs w:val="16"/>
      </w:rPr>
    </w:pPr>
    <w:r>
      <w:rPr>
        <w:noProof/>
      </w:rPr>
      <w:pict w14:anchorId="1DAA8B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1189" o:spid="_x0000_s1069" type="#_x0000_t75" style="position:absolute;margin-left:37.8pt;margin-top:323.4pt;width:538.15pt;height:345.9pt;z-index:-251656193;mso-position-horizontal-relative:margin;mso-position-vertical-relative:margin" o:allowincell="f">
          <v:imagedata r:id="rId1" o:title="DNA 2 CMYK-01" gain="19661f" blacklevel="22938f"/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3800F" w14:textId="36961C30" w:rsidR="00A222C2" w:rsidRPr="00A222C2" w:rsidRDefault="00B97119" w:rsidP="00B97119">
    <w:pPr>
      <w:pStyle w:val="Footer"/>
      <w:tabs>
        <w:tab w:val="center" w:pos="5400"/>
        <w:tab w:val="right" w:pos="10800"/>
      </w:tabs>
      <w:rPr>
        <w:rFonts w:ascii="Poppins" w:hAnsi="Poppins" w:cs="Poppins"/>
        <w:sz w:val="16"/>
        <w:szCs w:val="16"/>
      </w:rPr>
    </w:pPr>
    <w:r>
      <w:rPr>
        <w:rFonts w:ascii="Poppins" w:hAnsi="Poppins" w:cs="Poppins"/>
        <w:sz w:val="16"/>
        <w:szCs w:val="16"/>
      </w:rPr>
      <w:tab/>
    </w:r>
    <w:r w:rsidR="00A222C2" w:rsidRPr="00A222C2">
      <w:rPr>
        <w:rFonts w:ascii="Poppins" w:hAnsi="Poppins" w:cs="Poppins"/>
        <w:sz w:val="16"/>
        <w:szCs w:val="16"/>
      </w:rPr>
      <w:t>For research applications only.</w:t>
    </w:r>
    <w:r w:rsidR="00A222C2">
      <w:rPr>
        <w:rFonts w:ascii="Poppins" w:hAnsi="Poppins" w:cs="Poppins"/>
        <w:sz w:val="16"/>
        <w:szCs w:val="16"/>
      </w:rPr>
      <w:t xml:space="preserve"> </w:t>
    </w:r>
    <w:r w:rsidR="00A222C2" w:rsidRPr="00A222C2">
      <w:rPr>
        <w:rFonts w:ascii="Poppins" w:hAnsi="Poppins" w:cs="Poppins"/>
        <w:sz w:val="16"/>
        <w:szCs w:val="16"/>
      </w:rPr>
      <w:t>Not for diagnostic or therapeutic use.</w:t>
    </w:r>
    <w:r>
      <w:rPr>
        <w:rFonts w:ascii="Poppins" w:hAnsi="Poppins" w:cs="Poppins"/>
        <w:sz w:val="16"/>
        <w:szCs w:val="16"/>
      </w:rPr>
      <w:tab/>
    </w:r>
    <w:r>
      <w:rPr>
        <w:rFonts w:ascii="Poppins" w:hAnsi="Poppins" w:cs="Poppins"/>
        <w:sz w:val="16"/>
        <w:szCs w:val="16"/>
      </w:rPr>
      <w:tab/>
    </w:r>
  </w:p>
  <w:p w14:paraId="7AC9421B" w14:textId="77203BF6" w:rsidR="00A222C2" w:rsidRDefault="00787FB1" w:rsidP="00B97119">
    <w:pPr>
      <w:pStyle w:val="Footer"/>
      <w:tabs>
        <w:tab w:val="clear" w:pos="4680"/>
        <w:tab w:val="clear" w:pos="9360"/>
        <w:tab w:val="left" w:pos="1585"/>
        <w:tab w:val="right" w:pos="10800"/>
      </w:tabs>
      <w:rPr>
        <w:rFonts w:ascii="Poppins" w:hAnsi="Poppins" w:cs="Poppins"/>
        <w:sz w:val="20"/>
        <w:szCs w:val="20"/>
      </w:rPr>
    </w:pPr>
    <w:r>
      <w:rPr>
        <w:rFonts w:ascii="Poppins" w:hAnsi="Poppins" w:cs="Poppins"/>
        <w:sz w:val="20"/>
        <w:szCs w:val="20"/>
      </w:rPr>
      <w:tab/>
    </w:r>
    <w:r w:rsidR="00B97119">
      <w:rPr>
        <w:rFonts w:ascii="Poppins" w:hAnsi="Poppins" w:cs="Poppins"/>
        <w:sz w:val="20"/>
        <w:szCs w:val="20"/>
      </w:rPr>
      <w:tab/>
    </w:r>
  </w:p>
  <w:p w14:paraId="7076804F" w14:textId="6F213843" w:rsidR="00AB60A6" w:rsidRPr="00A222C2" w:rsidRDefault="00AB60A6" w:rsidP="00B97119">
    <w:pPr>
      <w:pStyle w:val="Footer"/>
      <w:tabs>
        <w:tab w:val="clear" w:pos="4680"/>
        <w:tab w:val="clear" w:pos="9360"/>
        <w:tab w:val="left" w:pos="9420"/>
        <w:tab w:val="left" w:pos="10093"/>
        <w:tab w:val="right" w:pos="10800"/>
      </w:tabs>
      <w:rPr>
        <w:rFonts w:ascii="Poppins" w:hAnsi="Poppins" w:cs="Poppins"/>
        <w:sz w:val="16"/>
        <w:szCs w:val="16"/>
      </w:rPr>
    </w:pPr>
    <w:r w:rsidRPr="00A222C2">
      <w:rPr>
        <w:rFonts w:ascii="Poppins" w:hAnsi="Poppins" w:cs="Poppins"/>
        <w:sz w:val="16"/>
        <w:szCs w:val="16"/>
      </w:rPr>
      <w:t>ORF Biologics</w:t>
    </w:r>
    <w:r w:rsidR="004409C6">
      <w:rPr>
        <w:rFonts w:ascii="Poppins" w:hAnsi="Poppins" w:cs="Poppins"/>
        <w:sz w:val="16"/>
        <w:szCs w:val="16"/>
      </w:rPr>
      <w:tab/>
    </w:r>
    <w:r w:rsidR="00B97119">
      <w:rPr>
        <w:rFonts w:ascii="Poppins" w:hAnsi="Poppins" w:cs="Poppins"/>
        <w:sz w:val="16"/>
        <w:szCs w:val="16"/>
      </w:rPr>
      <w:tab/>
    </w:r>
    <w:r w:rsidR="00B97119">
      <w:rPr>
        <w:rFonts w:ascii="Poppins" w:hAnsi="Poppins" w:cs="Poppins"/>
        <w:sz w:val="16"/>
        <w:szCs w:val="16"/>
      </w:rPr>
      <w:tab/>
    </w:r>
  </w:p>
  <w:p w14:paraId="4AC2A7A1" w14:textId="385C17DC" w:rsidR="00AB60A6" w:rsidRPr="00A222C2" w:rsidRDefault="00A222C2" w:rsidP="00B97119">
    <w:pPr>
      <w:pStyle w:val="Footer"/>
      <w:tabs>
        <w:tab w:val="clear" w:pos="4680"/>
        <w:tab w:val="clear" w:pos="9360"/>
        <w:tab w:val="left" w:pos="9420"/>
        <w:tab w:val="right" w:pos="10800"/>
      </w:tabs>
      <w:rPr>
        <w:rFonts w:ascii="Poppins" w:hAnsi="Poppins" w:cs="Poppins"/>
        <w:sz w:val="16"/>
        <w:szCs w:val="16"/>
      </w:rPr>
    </w:pPr>
    <w:r w:rsidRPr="00A222C2">
      <w:rPr>
        <w:rFonts w:ascii="Poppins" w:hAnsi="Poppins" w:cs="Poppins"/>
        <w:sz w:val="16"/>
        <w:szCs w:val="16"/>
      </w:rPr>
      <w:t xml:space="preserve">1110 </w:t>
    </w:r>
    <w:r w:rsidR="00AB60A6" w:rsidRPr="00A222C2">
      <w:rPr>
        <w:rFonts w:ascii="Poppins" w:hAnsi="Poppins" w:cs="Poppins"/>
        <w:sz w:val="16"/>
        <w:szCs w:val="16"/>
      </w:rPr>
      <w:t>Tall Grass Ave</w:t>
    </w:r>
    <w:r w:rsidRPr="00A222C2">
      <w:rPr>
        <w:rFonts w:ascii="Poppins" w:hAnsi="Poppins" w:cs="Poppins"/>
        <w:sz w:val="16"/>
        <w:szCs w:val="16"/>
      </w:rPr>
      <w:t>.</w:t>
    </w:r>
    <w:r w:rsidR="00B97119">
      <w:rPr>
        <w:rFonts w:ascii="Poppins" w:hAnsi="Poppins" w:cs="Poppins"/>
        <w:sz w:val="16"/>
        <w:szCs w:val="16"/>
      </w:rPr>
      <w:tab/>
    </w:r>
    <w:r w:rsidR="00B97119">
      <w:rPr>
        <w:rFonts w:ascii="Poppins" w:hAnsi="Poppins" w:cs="Poppins"/>
        <w:sz w:val="16"/>
        <w:szCs w:val="16"/>
      </w:rPr>
      <w:tab/>
    </w:r>
  </w:p>
  <w:p w14:paraId="165460E7" w14:textId="15C971F4" w:rsidR="00AB60A6" w:rsidRPr="00C974A0" w:rsidRDefault="00A222C2">
    <w:pPr>
      <w:pStyle w:val="Footer"/>
      <w:rPr>
        <w:rFonts w:ascii="Poppins" w:hAnsi="Poppins" w:cs="Poppins"/>
        <w:sz w:val="16"/>
        <w:szCs w:val="16"/>
        <w:lang w:val="fr-FR"/>
      </w:rPr>
    </w:pPr>
    <w:r w:rsidRPr="00C974A0">
      <w:rPr>
        <w:rFonts w:ascii="Poppins" w:hAnsi="Poppins" w:cs="Poppins"/>
        <w:sz w:val="16"/>
        <w:szCs w:val="16"/>
        <w:lang w:val="fr-FR"/>
      </w:rPr>
      <w:t>Tiffin</w:t>
    </w:r>
    <w:r w:rsidR="00AB60A6" w:rsidRPr="00C974A0">
      <w:rPr>
        <w:rFonts w:ascii="Poppins" w:hAnsi="Poppins" w:cs="Poppins"/>
        <w:sz w:val="16"/>
        <w:szCs w:val="16"/>
        <w:lang w:val="fr-FR"/>
      </w:rPr>
      <w:t>, IA</w:t>
    </w:r>
    <w:r w:rsidRPr="00C974A0">
      <w:rPr>
        <w:rFonts w:ascii="Poppins" w:hAnsi="Poppins" w:cs="Poppins"/>
        <w:sz w:val="16"/>
        <w:szCs w:val="16"/>
        <w:lang w:val="fr-FR"/>
      </w:rPr>
      <w:t xml:space="preserve"> 52340</w:t>
    </w:r>
  </w:p>
  <w:p w14:paraId="547A0BC4" w14:textId="459AC608" w:rsidR="00AB60A6" w:rsidRPr="00C974A0" w:rsidRDefault="00A222C2">
    <w:pPr>
      <w:pStyle w:val="Footer"/>
      <w:rPr>
        <w:rFonts w:ascii="Poppins" w:hAnsi="Poppins" w:cs="Poppins"/>
        <w:sz w:val="16"/>
        <w:szCs w:val="16"/>
        <w:lang w:val="fr-FR"/>
      </w:rPr>
    </w:pPr>
    <w:hyperlink r:id="rId1" w:history="1">
      <w:r w:rsidRPr="00C974A0">
        <w:rPr>
          <w:rStyle w:val="Hyperlink"/>
          <w:rFonts w:ascii="Poppins" w:hAnsi="Poppins" w:cs="Poppins"/>
          <w:sz w:val="16"/>
          <w:szCs w:val="16"/>
          <w:lang w:val="fr-FR"/>
        </w:rPr>
        <w:t>contact@orfbiologics.com</w:t>
      </w:r>
    </w:hyperlink>
  </w:p>
  <w:p w14:paraId="77D683CA" w14:textId="5F01C288" w:rsidR="00A222C2" w:rsidRPr="00C974A0" w:rsidRDefault="00A222C2" w:rsidP="00B97119">
    <w:pPr>
      <w:pStyle w:val="Footer"/>
      <w:tabs>
        <w:tab w:val="clear" w:pos="4680"/>
        <w:tab w:val="clear" w:pos="9360"/>
        <w:tab w:val="right" w:pos="10800"/>
      </w:tabs>
      <w:rPr>
        <w:rFonts w:ascii="Poppins" w:hAnsi="Poppins" w:cs="Poppins"/>
        <w:sz w:val="16"/>
        <w:szCs w:val="16"/>
        <w:lang w:val="fr-FR"/>
      </w:rPr>
    </w:pPr>
    <w:r w:rsidRPr="00C974A0">
      <w:rPr>
        <w:rFonts w:ascii="Poppins" w:hAnsi="Poppins" w:cs="Poppins"/>
        <w:sz w:val="16"/>
        <w:szCs w:val="16"/>
        <w:lang w:val="fr-FR"/>
      </w:rPr>
      <w:t>orfbiologics.com</w:t>
    </w:r>
    <w:r w:rsidR="00B97119" w:rsidRPr="00C974A0">
      <w:rPr>
        <w:rFonts w:ascii="Poppins" w:hAnsi="Poppins" w:cs="Poppins"/>
        <w:sz w:val="16"/>
        <w:szCs w:val="16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21BA7" w14:textId="77777777" w:rsidR="008654F9" w:rsidRDefault="008654F9" w:rsidP="007400AE">
      <w:pPr>
        <w:spacing w:after="0" w:line="240" w:lineRule="auto"/>
      </w:pPr>
      <w:r>
        <w:separator/>
      </w:r>
    </w:p>
  </w:footnote>
  <w:footnote w:type="continuationSeparator" w:id="0">
    <w:p w14:paraId="73AF222B" w14:textId="77777777" w:rsidR="008654F9" w:rsidRDefault="008654F9" w:rsidP="00740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A7301" w14:textId="684871BE" w:rsidR="00B97119" w:rsidRDefault="00000000">
    <w:pPr>
      <w:pStyle w:val="Header"/>
    </w:pPr>
    <w:r>
      <w:rPr>
        <w:noProof/>
      </w:rPr>
      <w:pict w14:anchorId="3E4068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1188" o:spid="_x0000_s1068" type="#_x0000_t75" style="position:absolute;margin-left:0;margin-top:0;width:538.15pt;height:345.9pt;z-index:-251653120;mso-position-horizontal:center;mso-position-horizontal-relative:margin;mso-position-vertical:center;mso-position-vertical-relative:margin" o:allowincell="f">
          <v:imagedata r:id="rId1" o:title="DNA 2 CMYK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96523" w14:textId="75D53C8E" w:rsidR="007400AE" w:rsidRDefault="007400AE" w:rsidP="00787FB1">
    <w:pPr>
      <w:pStyle w:val="Header"/>
      <w:tabs>
        <w:tab w:val="clear" w:pos="4680"/>
        <w:tab w:val="clear" w:pos="9360"/>
        <w:tab w:val="left" w:pos="4452"/>
      </w:tabs>
    </w:pPr>
    <w:r>
      <w:rPr>
        <w:noProof/>
      </w:rPr>
      <w:drawing>
        <wp:inline distT="0" distB="0" distL="0" distR="0" wp14:anchorId="540FFD93" wp14:editId="0E96907E">
          <wp:extent cx="1686975" cy="726336"/>
          <wp:effectExtent l="0" t="0" r="0" b="0"/>
          <wp:docPr id="1227695402" name="Picture 1" descr="A blue and orang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6611709" name="Picture 1" descr="A blue and orang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325" cy="750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87FB1">
      <w:tab/>
    </w:r>
  </w:p>
  <w:p w14:paraId="6E2B0193" w14:textId="77777777" w:rsidR="00E67FF5" w:rsidRDefault="00E67FF5">
    <w:pPr>
      <w:pStyle w:val="Header"/>
    </w:pPr>
  </w:p>
  <w:p w14:paraId="50AB9746" w14:textId="1A168CFA" w:rsidR="007400AE" w:rsidRDefault="003314C3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25F742A" wp14:editId="4E81AEC0">
          <wp:simplePos x="0" y="0"/>
          <wp:positionH relativeFrom="margin">
            <wp:posOffset>-786572</wp:posOffset>
          </wp:positionH>
          <wp:positionV relativeFrom="paragraph">
            <wp:posOffset>2527107</wp:posOffset>
          </wp:positionV>
          <wp:extent cx="3566160" cy="3379745"/>
          <wp:effectExtent l="0" t="0" r="0" b="0"/>
          <wp:wrapNone/>
          <wp:docPr id="1726451687" name="Picture 2" descr="A group of orange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6451687" name="Picture 2" descr="A group of orange dots&#10;&#10;AI-generated content may be incorrect."/>
                  <pic:cNvPicPr/>
                </pic:nvPicPr>
                <pic:blipFill>
                  <a:blip r:embed="rId2">
                    <a:alphaModFix amt="7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6160" cy="337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28FD5" w14:textId="194F07A2" w:rsidR="007400AE" w:rsidRDefault="00000000">
    <w:pPr>
      <w:pStyle w:val="Header"/>
    </w:pPr>
    <w:r>
      <w:rPr>
        <w:noProof/>
      </w:rPr>
      <w:pict w14:anchorId="07E49C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1187" o:spid="_x0000_s1067" type="#_x0000_t75" style="position:absolute;margin-left:0;margin-top:0;width:538.15pt;height:345.9pt;z-index:-251654144;mso-position-horizontal:center;mso-position-horizontal-relative:margin;mso-position-vertical:center;mso-position-vertical-relative:margin" o:allowincell="f">
          <v:imagedata r:id="rId1" o:title="DNA 2 CMYK-01" gain="19661f" blacklevel="22938f"/>
          <w10:wrap anchorx="margin" anchory="margin"/>
        </v:shape>
      </w:pict>
    </w:r>
    <w:r w:rsidR="007400AE">
      <w:rPr>
        <w:noProof/>
      </w:rPr>
      <w:drawing>
        <wp:inline distT="0" distB="0" distL="0" distR="0" wp14:anchorId="21DC62C8" wp14:editId="4DF40C19">
          <wp:extent cx="1597443" cy="687788"/>
          <wp:effectExtent l="0" t="0" r="3175" b="0"/>
          <wp:docPr id="1143168743" name="Picture 2" descr="A blue and orang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7234762" name="Picture 2" descr="A blue and orange logo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5" cy="7052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00AE">
      <w:ptab w:relativeTo="margin" w:alignment="center" w:leader="none"/>
    </w:r>
    <w:r w:rsidR="007400AE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64379B"/>
    <w:multiLevelType w:val="hybridMultilevel"/>
    <w:tmpl w:val="C54CA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8800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D0B"/>
    <w:rsid w:val="00013796"/>
    <w:rsid w:val="00016DFC"/>
    <w:rsid w:val="000300E2"/>
    <w:rsid w:val="000656AB"/>
    <w:rsid w:val="0007324F"/>
    <w:rsid w:val="00093938"/>
    <w:rsid w:val="00097092"/>
    <w:rsid w:val="000C3396"/>
    <w:rsid w:val="001067B1"/>
    <w:rsid w:val="00126D90"/>
    <w:rsid w:val="0013145D"/>
    <w:rsid w:val="00192F37"/>
    <w:rsid w:val="001B5343"/>
    <w:rsid w:val="002053FF"/>
    <w:rsid w:val="0027774C"/>
    <w:rsid w:val="002F3680"/>
    <w:rsid w:val="003314C3"/>
    <w:rsid w:val="00361FE2"/>
    <w:rsid w:val="003A57E7"/>
    <w:rsid w:val="003F672E"/>
    <w:rsid w:val="004409C6"/>
    <w:rsid w:val="00455259"/>
    <w:rsid w:val="0046134E"/>
    <w:rsid w:val="00461D40"/>
    <w:rsid w:val="00466801"/>
    <w:rsid w:val="00472720"/>
    <w:rsid w:val="0047579A"/>
    <w:rsid w:val="004834D7"/>
    <w:rsid w:val="00485BC4"/>
    <w:rsid w:val="004A4D58"/>
    <w:rsid w:val="004D17E9"/>
    <w:rsid w:val="004F2608"/>
    <w:rsid w:val="005D6C1A"/>
    <w:rsid w:val="005F0A8E"/>
    <w:rsid w:val="005F10EC"/>
    <w:rsid w:val="005F75F2"/>
    <w:rsid w:val="00647449"/>
    <w:rsid w:val="00697A63"/>
    <w:rsid w:val="00732A62"/>
    <w:rsid w:val="007400AE"/>
    <w:rsid w:val="00787FB1"/>
    <w:rsid w:val="007B23EE"/>
    <w:rsid w:val="008129FE"/>
    <w:rsid w:val="00825533"/>
    <w:rsid w:val="00833FE5"/>
    <w:rsid w:val="008566C3"/>
    <w:rsid w:val="008654F9"/>
    <w:rsid w:val="008D0242"/>
    <w:rsid w:val="00920A3C"/>
    <w:rsid w:val="009A0D0C"/>
    <w:rsid w:val="009B7B9F"/>
    <w:rsid w:val="009C0313"/>
    <w:rsid w:val="00A13CEC"/>
    <w:rsid w:val="00A16118"/>
    <w:rsid w:val="00A222C2"/>
    <w:rsid w:val="00A31997"/>
    <w:rsid w:val="00A42E21"/>
    <w:rsid w:val="00A54B26"/>
    <w:rsid w:val="00AA2250"/>
    <w:rsid w:val="00AB60A6"/>
    <w:rsid w:val="00AD76AE"/>
    <w:rsid w:val="00AF3AA8"/>
    <w:rsid w:val="00B61690"/>
    <w:rsid w:val="00B97119"/>
    <w:rsid w:val="00BA40A2"/>
    <w:rsid w:val="00BB0E5B"/>
    <w:rsid w:val="00C2504D"/>
    <w:rsid w:val="00C43CFD"/>
    <w:rsid w:val="00C533F6"/>
    <w:rsid w:val="00C74E48"/>
    <w:rsid w:val="00C974A0"/>
    <w:rsid w:val="00CA4C28"/>
    <w:rsid w:val="00CB0662"/>
    <w:rsid w:val="00CB5440"/>
    <w:rsid w:val="00CD5340"/>
    <w:rsid w:val="00D0250C"/>
    <w:rsid w:val="00D42DB1"/>
    <w:rsid w:val="00D84203"/>
    <w:rsid w:val="00DA6E52"/>
    <w:rsid w:val="00DE729B"/>
    <w:rsid w:val="00DF2FDA"/>
    <w:rsid w:val="00DF5225"/>
    <w:rsid w:val="00E02670"/>
    <w:rsid w:val="00E36D0B"/>
    <w:rsid w:val="00E67FF5"/>
    <w:rsid w:val="00F5355D"/>
    <w:rsid w:val="00F913BB"/>
    <w:rsid w:val="00FB707E"/>
    <w:rsid w:val="00FF5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E6B3EF"/>
  <w15:chartTrackingRefBased/>
  <w15:docId w15:val="{90BF82EE-F7AD-457C-9F23-176E6E1BB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6D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6D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6D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6D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6D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6D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6D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6D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6D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6D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6D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6D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6D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6D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6D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6D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D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6D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6D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6D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6D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6D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6D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6D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6D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6D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6D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6D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6D0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40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0AE"/>
  </w:style>
  <w:style w:type="paragraph" w:styleId="Footer">
    <w:name w:val="footer"/>
    <w:basedOn w:val="Normal"/>
    <w:link w:val="FooterChar"/>
    <w:uiPriority w:val="99"/>
    <w:unhideWhenUsed/>
    <w:qFormat/>
    <w:rsid w:val="00740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0AE"/>
  </w:style>
  <w:style w:type="table" w:styleId="TableGrid">
    <w:name w:val="Table Grid"/>
    <w:basedOn w:val="TableNormal"/>
    <w:uiPriority w:val="39"/>
    <w:rsid w:val="00AA2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222C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22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3930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6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7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450056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12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26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8100864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50238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09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1019177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5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5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8473771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orfbiolog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46241-5499-41A6-B585-0837B469D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Dupuy</dc:creator>
  <cp:keywords/>
  <dc:description/>
  <cp:lastModifiedBy>Sara Ternes</cp:lastModifiedBy>
  <cp:revision>4</cp:revision>
  <cp:lastPrinted>2025-06-04T16:20:00Z</cp:lastPrinted>
  <dcterms:created xsi:type="dcterms:W3CDTF">2025-08-14T15:10:00Z</dcterms:created>
  <dcterms:modified xsi:type="dcterms:W3CDTF">2025-08-14T16:56:00Z</dcterms:modified>
</cp:coreProperties>
</file>