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056F2E4C"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192F37">
        <w:rPr>
          <w:rFonts w:ascii="Poppins" w:hAnsi="Poppins" w:cs="Poppins"/>
          <w:b/>
          <w:bCs/>
        </w:rPr>
        <w:t>HA</w:t>
      </w:r>
      <w:r w:rsidR="008D0242">
        <w:rPr>
          <w:rFonts w:ascii="Poppins" w:hAnsi="Poppins" w:cs="Poppins"/>
          <w:b/>
          <w:bCs/>
        </w:rPr>
        <w:t>-Tag Monoclonal Antibody</w:t>
      </w:r>
      <w:r>
        <w:rPr>
          <w:rFonts w:ascii="Poppins" w:hAnsi="Poppins" w:cs="Poppins"/>
        </w:rPr>
        <w:br/>
      </w:r>
      <w:r w:rsidRPr="00AA2250">
        <w:rPr>
          <w:rFonts w:ascii="Poppins" w:hAnsi="Poppins" w:cs="Poppins"/>
          <w:sz w:val="20"/>
          <w:szCs w:val="20"/>
        </w:rPr>
        <w:t xml:space="preserve">Catalog Number: </w:t>
      </w:r>
      <w:r w:rsidR="008D0242" w:rsidRPr="008D0242">
        <w:rPr>
          <w:rFonts w:ascii="Poppins" w:hAnsi="Poppins" w:cs="Poppins"/>
          <w:sz w:val="20"/>
          <w:szCs w:val="20"/>
        </w:rPr>
        <w:t>ORF.</w:t>
      </w:r>
      <w:r w:rsidR="00192F37">
        <w:rPr>
          <w:rFonts w:ascii="Poppins" w:hAnsi="Poppins" w:cs="Poppins"/>
          <w:sz w:val="20"/>
          <w:szCs w:val="20"/>
        </w:rPr>
        <w:t>HA</w:t>
      </w:r>
      <w:r w:rsidR="008D0242" w:rsidRPr="008D0242">
        <w:rPr>
          <w:rFonts w:ascii="Poppins" w:hAnsi="Poppins" w:cs="Poppins"/>
          <w:sz w:val="20"/>
          <w:szCs w:val="20"/>
        </w:rPr>
        <w:t>MAB-50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6C12A84A" w:rsidR="00AA2250" w:rsidRPr="00A16118" w:rsidRDefault="00192F37" w:rsidP="00AA2250">
            <w:pPr>
              <w:rPr>
                <w:rFonts w:ascii="Poppins" w:hAnsi="Poppins" w:cs="Poppins"/>
                <w:sz w:val="16"/>
                <w:szCs w:val="16"/>
              </w:rPr>
            </w:pPr>
            <w:r>
              <w:rPr>
                <w:rFonts w:ascii="Poppins" w:hAnsi="Poppins" w:cs="Poppins"/>
                <w:sz w:val="16"/>
                <w:szCs w:val="16"/>
              </w:rPr>
              <w:t>HA</w:t>
            </w:r>
            <w:r w:rsidR="008D0242" w:rsidRPr="008D0242">
              <w:rPr>
                <w:rFonts w:ascii="Poppins" w:hAnsi="Poppins" w:cs="Poppins"/>
                <w:sz w:val="16"/>
                <w:szCs w:val="16"/>
              </w:rPr>
              <w:t>-Tag Monoclonal Antibody</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70F5C13D" w:rsidR="00AA2250" w:rsidRPr="00A16118" w:rsidRDefault="008D0242" w:rsidP="00AA2250">
            <w:pPr>
              <w:rPr>
                <w:rFonts w:ascii="Poppins" w:hAnsi="Poppins" w:cs="Poppins"/>
                <w:sz w:val="16"/>
                <w:szCs w:val="16"/>
              </w:rPr>
            </w:pPr>
            <w:r w:rsidRPr="008D0242">
              <w:rPr>
                <w:rFonts w:ascii="Poppins" w:hAnsi="Poppins" w:cs="Poppins"/>
                <w:sz w:val="16"/>
                <w:szCs w:val="16"/>
              </w:rPr>
              <w:t>ORF.</w:t>
            </w:r>
            <w:r w:rsidR="00192F37">
              <w:rPr>
                <w:rFonts w:ascii="Poppins" w:hAnsi="Poppins" w:cs="Poppins"/>
                <w:sz w:val="16"/>
                <w:szCs w:val="16"/>
              </w:rPr>
              <w:t>HA</w:t>
            </w:r>
            <w:r w:rsidRPr="008D0242">
              <w:rPr>
                <w:rFonts w:ascii="Poppins" w:hAnsi="Poppins" w:cs="Poppins"/>
                <w:sz w:val="16"/>
                <w:szCs w:val="16"/>
              </w:rPr>
              <w:t>MAB-50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39DA9179" w:rsidR="00AA2250" w:rsidRPr="00A16118" w:rsidRDefault="008D0242" w:rsidP="00AA2250">
            <w:pPr>
              <w:rPr>
                <w:rFonts w:ascii="Poppins" w:hAnsi="Poppins" w:cs="Poppins"/>
                <w:sz w:val="16"/>
                <w:szCs w:val="16"/>
              </w:rPr>
            </w:pPr>
            <w:r w:rsidRPr="008D0242">
              <w:rPr>
                <w:rFonts w:ascii="Poppins" w:hAnsi="Poppins" w:cs="Poppins"/>
                <w:sz w:val="16"/>
                <w:szCs w:val="16"/>
              </w:rPr>
              <w:t xml:space="preserve">50 </w:t>
            </w:r>
            <w:proofErr w:type="spellStart"/>
            <w:r w:rsidRPr="008D0242">
              <w:rPr>
                <w:rFonts w:ascii="Cambria" w:hAnsi="Cambria" w:cs="Cambria"/>
                <w:sz w:val="16"/>
                <w:szCs w:val="16"/>
              </w:rPr>
              <w:t>μ</w:t>
            </w:r>
            <w:r w:rsidRPr="008D0242">
              <w:rPr>
                <w:rFonts w:ascii="Poppins" w:hAnsi="Poppins" w:cs="Poppins"/>
                <w:sz w:val="16"/>
                <w:szCs w:val="16"/>
              </w:rPr>
              <w:t>L</w:t>
            </w:r>
            <w:proofErr w:type="spellEnd"/>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0E220FF5" w:rsidR="00AA2250" w:rsidRPr="00A16118" w:rsidRDefault="008D0242" w:rsidP="00AA2250">
            <w:pPr>
              <w:rPr>
                <w:rFonts w:ascii="Poppins" w:hAnsi="Poppins" w:cs="Poppins"/>
                <w:sz w:val="16"/>
                <w:szCs w:val="16"/>
              </w:rPr>
            </w:pPr>
            <w:r>
              <w:rPr>
                <w:rFonts w:ascii="Poppins" w:hAnsi="Poppins" w:cs="Poppins"/>
                <w:sz w:val="16"/>
                <w:szCs w:val="16"/>
              </w:rPr>
              <w:t>Monoclonal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6A2F2115" w:rsidR="00AA2250" w:rsidRPr="00A16118" w:rsidRDefault="008D0242" w:rsidP="00AA2250">
            <w:pPr>
              <w:rPr>
                <w:rFonts w:ascii="Poppins" w:hAnsi="Poppins" w:cs="Poppins"/>
                <w:sz w:val="16"/>
                <w:szCs w:val="16"/>
              </w:rPr>
            </w:pPr>
            <w:r>
              <w:rPr>
                <w:rFonts w:ascii="Poppins" w:hAnsi="Poppins" w:cs="Poppins"/>
                <w:sz w:val="16"/>
                <w:szCs w:val="16"/>
              </w:rPr>
              <w:t>Mouse</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6E1F2480" w:rsidR="00AA2250" w:rsidRPr="00A16118" w:rsidRDefault="008D0242" w:rsidP="00AA2250">
            <w:pPr>
              <w:rPr>
                <w:rFonts w:ascii="Poppins" w:hAnsi="Poppins" w:cs="Poppins"/>
                <w:sz w:val="16"/>
                <w:szCs w:val="16"/>
              </w:rPr>
            </w:pPr>
            <w:r>
              <w:rPr>
                <w:rFonts w:ascii="Poppins" w:hAnsi="Poppins" w:cs="Poppins"/>
                <w:sz w:val="16"/>
                <w:szCs w:val="16"/>
              </w:rPr>
              <w:t xml:space="preserve">The antibody was purified by immunogen affinity chromatography. </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4E819A63" w14:textId="77777777" w:rsidR="00192F37" w:rsidRPr="00192F37" w:rsidRDefault="00192F37" w:rsidP="00192F37">
            <w:pPr>
              <w:rPr>
                <w:rFonts w:ascii="Poppins" w:hAnsi="Poppins" w:cs="Poppins"/>
                <w:sz w:val="16"/>
                <w:szCs w:val="16"/>
              </w:rPr>
            </w:pPr>
            <w:r w:rsidRPr="00192F37">
              <w:rPr>
                <w:rFonts w:ascii="Poppins" w:hAnsi="Poppins" w:cs="Poppins"/>
                <w:sz w:val="16"/>
                <w:szCs w:val="16"/>
              </w:rPr>
              <w:t>The HA tag (hemagglutinin tag) is a short epitope sequence derived from the influenza virus hemagglutinin surface glycoprotein. It is widely used as a fusion tag to facilitate the detection, localization, and purification of recombinant proteins in various expression systems. When incorporated into a protein of interest, the HA tag enables:</w:t>
            </w:r>
          </w:p>
          <w:p w14:paraId="5D0CA805" w14:textId="77777777" w:rsidR="00192F37" w:rsidRPr="00192F37" w:rsidRDefault="00192F37" w:rsidP="00192F37">
            <w:pPr>
              <w:rPr>
                <w:rFonts w:ascii="Poppins" w:hAnsi="Poppins" w:cs="Poppins"/>
                <w:sz w:val="16"/>
                <w:szCs w:val="16"/>
              </w:rPr>
            </w:pPr>
          </w:p>
          <w:p w14:paraId="70407CC2" w14:textId="77777777" w:rsidR="008566C3" w:rsidRDefault="00192F37" w:rsidP="00192F37">
            <w:pPr>
              <w:pStyle w:val="ListParagraph"/>
              <w:numPr>
                <w:ilvl w:val="0"/>
                <w:numId w:val="1"/>
              </w:numPr>
              <w:rPr>
                <w:rFonts w:ascii="Poppins" w:hAnsi="Poppins" w:cs="Poppins"/>
                <w:sz w:val="16"/>
                <w:szCs w:val="16"/>
              </w:rPr>
            </w:pPr>
            <w:r w:rsidRPr="008566C3">
              <w:rPr>
                <w:rFonts w:ascii="Poppins" w:hAnsi="Poppins" w:cs="Poppins"/>
                <w:sz w:val="16"/>
                <w:szCs w:val="16"/>
              </w:rPr>
              <w:t>Protein Localization Studies – Tracking the distribution of tagged proteins within cells.</w:t>
            </w:r>
          </w:p>
          <w:p w14:paraId="708F9893" w14:textId="77777777" w:rsidR="008566C3" w:rsidRDefault="00192F37" w:rsidP="00192F37">
            <w:pPr>
              <w:pStyle w:val="ListParagraph"/>
              <w:numPr>
                <w:ilvl w:val="0"/>
                <w:numId w:val="1"/>
              </w:numPr>
              <w:rPr>
                <w:rFonts w:ascii="Poppins" w:hAnsi="Poppins" w:cs="Poppins"/>
                <w:sz w:val="16"/>
                <w:szCs w:val="16"/>
              </w:rPr>
            </w:pPr>
            <w:r w:rsidRPr="008566C3">
              <w:rPr>
                <w:rFonts w:ascii="Poppins" w:hAnsi="Poppins" w:cs="Poppins"/>
                <w:sz w:val="16"/>
                <w:szCs w:val="16"/>
              </w:rPr>
              <w:t>Topology and Complex Analysis – Investigating protein structure, orientation, and interaction networks.</w:t>
            </w:r>
          </w:p>
          <w:p w14:paraId="1E4CF7C1" w14:textId="77777777" w:rsidR="008566C3" w:rsidRDefault="00192F37" w:rsidP="00192F37">
            <w:pPr>
              <w:pStyle w:val="ListParagraph"/>
              <w:numPr>
                <w:ilvl w:val="0"/>
                <w:numId w:val="1"/>
              </w:numPr>
              <w:rPr>
                <w:rFonts w:ascii="Poppins" w:hAnsi="Poppins" w:cs="Poppins"/>
                <w:sz w:val="16"/>
                <w:szCs w:val="16"/>
              </w:rPr>
            </w:pPr>
            <w:r w:rsidRPr="008566C3">
              <w:rPr>
                <w:rFonts w:ascii="Poppins" w:hAnsi="Poppins" w:cs="Poppins"/>
                <w:sz w:val="16"/>
                <w:szCs w:val="16"/>
              </w:rPr>
              <w:t>Protein-Protein Interaction Mapping – Identifying associated proteins through co-immunoprecipitation.</w:t>
            </w:r>
          </w:p>
          <w:p w14:paraId="1CFD15ED" w14:textId="77E4C455" w:rsidR="00192F37" w:rsidRPr="008566C3" w:rsidRDefault="00192F37" w:rsidP="00192F37">
            <w:pPr>
              <w:pStyle w:val="ListParagraph"/>
              <w:numPr>
                <w:ilvl w:val="0"/>
                <w:numId w:val="1"/>
              </w:numPr>
              <w:rPr>
                <w:rFonts w:ascii="Poppins" w:hAnsi="Poppins" w:cs="Poppins"/>
                <w:sz w:val="16"/>
                <w:szCs w:val="16"/>
              </w:rPr>
            </w:pPr>
            <w:r w:rsidRPr="008566C3">
              <w:rPr>
                <w:rFonts w:ascii="Poppins" w:hAnsi="Poppins" w:cs="Poppins"/>
                <w:sz w:val="16"/>
                <w:szCs w:val="16"/>
              </w:rPr>
              <w:t>Characterization of Novel or Low-Abundance Proteins – Providing detection capability when specific antibodies are unavailable or the protein is poorly immunogenic.</w:t>
            </w:r>
          </w:p>
          <w:p w14:paraId="343ED833" w14:textId="77777777" w:rsidR="00192F37" w:rsidRPr="00192F37" w:rsidRDefault="00192F37" w:rsidP="00192F37">
            <w:pPr>
              <w:rPr>
                <w:rFonts w:ascii="Poppins" w:hAnsi="Poppins" w:cs="Poppins"/>
                <w:sz w:val="16"/>
                <w:szCs w:val="16"/>
              </w:rPr>
            </w:pPr>
          </w:p>
          <w:p w14:paraId="0A16B983" w14:textId="69F8F1B8" w:rsidR="00361FE2" w:rsidRDefault="00192F37" w:rsidP="00192F37">
            <w:pPr>
              <w:rPr>
                <w:rFonts w:ascii="Poppins" w:hAnsi="Poppins" w:cs="Poppins"/>
              </w:rPr>
            </w:pPr>
            <w:r w:rsidRPr="00192F37">
              <w:rPr>
                <w:rFonts w:ascii="Poppins" w:hAnsi="Poppins" w:cs="Poppins"/>
                <w:sz w:val="16"/>
                <w:szCs w:val="16"/>
              </w:rPr>
              <w:t>This monoclonal antibody specifically recognizes the HA epitope and is ideal for applications such as Western blotting, immunofluorescence, immunoprecipitation, and ELISA. It offers high sensitivity and specificity for both native and denatured forms of HA-tagged proteins, ensuring reliable results in research and protein characterization workflows.</w:t>
            </w:r>
          </w:p>
        </w:tc>
        <w:tc>
          <w:tcPr>
            <w:tcW w:w="4225" w:type="dxa"/>
            <w:vAlign w:val="center"/>
          </w:tcPr>
          <w:p w14:paraId="279E77EB" w14:textId="3D702F9F" w:rsidR="00097092" w:rsidRDefault="009A0D0C" w:rsidP="00CB5440">
            <w:pPr>
              <w:jc w:val="center"/>
              <w:rPr>
                <w:rFonts w:ascii="Poppins" w:hAnsi="Poppins" w:cs="Poppins"/>
              </w:rPr>
            </w:pPr>
            <w:r w:rsidRPr="009A0D0C">
              <w:rPr>
                <w:rFonts w:ascii="Poppins" w:hAnsi="Poppins" w:cs="Poppins"/>
                <w:noProof/>
              </w:rPr>
              <w:drawing>
                <wp:inline distT="0" distB="0" distL="0" distR="0" wp14:anchorId="13DFABB3" wp14:editId="06CAA9B4">
                  <wp:extent cx="1752845" cy="2562583"/>
                  <wp:effectExtent l="0" t="0" r="0" b="9525"/>
                  <wp:docPr id="85776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66789" name=""/>
                          <pic:cNvPicPr/>
                        </pic:nvPicPr>
                        <pic:blipFill>
                          <a:blip r:embed="rId8"/>
                          <a:stretch>
                            <a:fillRect/>
                          </a:stretch>
                        </pic:blipFill>
                        <pic:spPr>
                          <a:xfrm>
                            <a:off x="0" y="0"/>
                            <a:ext cx="1752845" cy="2562583"/>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lastRenderedPageBreak/>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6FF43EBB" w14:textId="77777777" w:rsidR="00FF5DD9" w:rsidRDefault="001B5343" w:rsidP="00D45863">
            <w:pPr>
              <w:rPr>
                <w:rFonts w:ascii="Poppins" w:hAnsi="Poppins" w:cs="Poppins"/>
                <w:sz w:val="16"/>
                <w:szCs w:val="16"/>
              </w:rPr>
            </w:pPr>
            <w:r>
              <w:rPr>
                <w:rFonts w:ascii="Poppins" w:hAnsi="Poppins" w:cs="Poppins"/>
                <w:sz w:val="16"/>
                <w:szCs w:val="16"/>
              </w:rPr>
              <w:t>WB: 1:2000 – 1:5000</w:t>
            </w:r>
          </w:p>
          <w:p w14:paraId="4844B827" w14:textId="77777777" w:rsidR="001B5343" w:rsidRDefault="001B5343" w:rsidP="00D45863">
            <w:pPr>
              <w:rPr>
                <w:rFonts w:ascii="Poppins" w:hAnsi="Poppins" w:cs="Poppins"/>
                <w:sz w:val="16"/>
                <w:szCs w:val="16"/>
              </w:rPr>
            </w:pPr>
            <w:r>
              <w:rPr>
                <w:rFonts w:ascii="Poppins" w:hAnsi="Poppins" w:cs="Poppins"/>
                <w:sz w:val="16"/>
                <w:szCs w:val="16"/>
              </w:rPr>
              <w:t>IF/IC: 1:200 – 1:500</w:t>
            </w:r>
          </w:p>
          <w:p w14:paraId="63052CF2" w14:textId="4D161458" w:rsidR="001B5343" w:rsidRPr="00A16118" w:rsidRDefault="001B5343" w:rsidP="00D45863">
            <w:pPr>
              <w:rPr>
                <w:rFonts w:ascii="Poppins" w:hAnsi="Poppins" w:cs="Poppins"/>
                <w:sz w:val="16"/>
                <w:szCs w:val="16"/>
              </w:rPr>
            </w:pPr>
            <w:r>
              <w:rPr>
                <w:rFonts w:ascii="Poppins" w:hAnsi="Poppins" w:cs="Poppins"/>
                <w:sz w:val="16"/>
                <w:szCs w:val="16"/>
              </w:rPr>
              <w:t>IP: 1:100 – 1:200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t>Reactivity</w:t>
            </w:r>
          </w:p>
        </w:tc>
        <w:tc>
          <w:tcPr>
            <w:tcW w:w="8185" w:type="dxa"/>
            <w:gridSpan w:val="2"/>
          </w:tcPr>
          <w:p w14:paraId="45558839" w14:textId="0CD17ECC" w:rsidR="00FF5DD9" w:rsidRPr="00A16118" w:rsidRDefault="00A31997" w:rsidP="00D45863">
            <w:pPr>
              <w:rPr>
                <w:rFonts w:ascii="Poppins" w:hAnsi="Poppins" w:cs="Poppins"/>
                <w:sz w:val="16"/>
                <w:szCs w:val="16"/>
              </w:rPr>
            </w:pPr>
            <w:r>
              <w:rPr>
                <w:rFonts w:ascii="Poppins" w:hAnsi="Poppins" w:cs="Poppins"/>
                <w:sz w:val="16"/>
                <w:szCs w:val="16"/>
              </w:rPr>
              <w:t>N/A</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30A7EA5D" w:rsidR="00FF5DD9" w:rsidRPr="00A16118" w:rsidRDefault="00A31997" w:rsidP="00D45863">
            <w:pPr>
              <w:rPr>
                <w:rFonts w:ascii="Poppins" w:hAnsi="Poppins" w:cs="Poppins"/>
                <w:sz w:val="16"/>
                <w:szCs w:val="16"/>
              </w:rPr>
            </w:pPr>
            <w:r>
              <w:rPr>
                <w:rFonts w:ascii="Poppins" w:hAnsi="Poppins" w:cs="Poppins"/>
                <w:sz w:val="16"/>
                <w:szCs w:val="16"/>
              </w:rPr>
              <w:t xml:space="preserve">Recognizes C-terminal, internal, and N-terminal </w:t>
            </w:r>
            <w:r w:rsidR="009A0D0C">
              <w:rPr>
                <w:rFonts w:ascii="Poppins" w:hAnsi="Poppins" w:cs="Poppins"/>
                <w:sz w:val="16"/>
                <w:szCs w:val="16"/>
              </w:rPr>
              <w:t>HA</w:t>
            </w:r>
            <w:r>
              <w:rPr>
                <w:rFonts w:ascii="Poppins" w:hAnsi="Poppins" w:cs="Poppins"/>
                <w:sz w:val="16"/>
                <w:szCs w:val="16"/>
              </w:rPr>
              <w:t>-tag fusion proteins</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71A36285" w14:textId="66E2C3B2" w:rsidR="00732A62" w:rsidRPr="00732A62" w:rsidRDefault="00732A62" w:rsidP="00732A62">
            <w:pPr>
              <w:rPr>
                <w:rFonts w:ascii="Poppins" w:hAnsi="Poppins" w:cs="Poppins"/>
                <w:sz w:val="16"/>
                <w:szCs w:val="16"/>
              </w:rPr>
            </w:pPr>
            <w:r w:rsidRPr="00732A62">
              <w:rPr>
                <w:rFonts w:ascii="Poppins" w:hAnsi="Poppins" w:cs="Poppins"/>
                <w:sz w:val="16"/>
                <w:szCs w:val="16"/>
              </w:rPr>
              <w:t xml:space="preserve">KLH-conjugated synthetic peptide encompassing a sequence of </w:t>
            </w:r>
            <w:r w:rsidR="009A0D0C">
              <w:rPr>
                <w:rFonts w:ascii="Poppins" w:hAnsi="Poppins" w:cs="Poppins"/>
                <w:sz w:val="16"/>
                <w:szCs w:val="16"/>
              </w:rPr>
              <w:t>HA</w:t>
            </w:r>
            <w:r w:rsidRPr="00732A62">
              <w:rPr>
                <w:rFonts w:ascii="Poppins" w:hAnsi="Poppins" w:cs="Poppins"/>
                <w:sz w:val="16"/>
                <w:szCs w:val="16"/>
              </w:rPr>
              <w:t>-tag.</w:t>
            </w:r>
          </w:p>
          <w:p w14:paraId="0F98EB23" w14:textId="50BC8019" w:rsidR="00A31997" w:rsidRDefault="00732A62" w:rsidP="00732A62">
            <w:pPr>
              <w:rPr>
                <w:rFonts w:ascii="Poppins" w:hAnsi="Poppins" w:cs="Poppins"/>
                <w:sz w:val="16"/>
                <w:szCs w:val="16"/>
              </w:rPr>
            </w:pPr>
            <w:r w:rsidRPr="00732A62">
              <w:rPr>
                <w:rFonts w:ascii="Poppins" w:hAnsi="Poppins" w:cs="Poppins"/>
                <w:sz w:val="16"/>
                <w:szCs w:val="16"/>
              </w:rPr>
              <w:t>The exact sequence is proprietary</w:t>
            </w:r>
            <w:r>
              <w:rPr>
                <w:rFonts w:ascii="Poppins" w:hAnsi="Poppins" w:cs="Poppins"/>
                <w:sz w:val="16"/>
                <w:szCs w:val="16"/>
              </w:rPr>
              <w:t>.</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6AA9E3B9" w:rsidR="00732A62" w:rsidRPr="00732A62" w:rsidRDefault="00732A62" w:rsidP="00732A62">
            <w:pPr>
              <w:rPr>
                <w:rFonts w:ascii="Poppins" w:hAnsi="Poppins" w:cs="Poppins"/>
                <w:sz w:val="16"/>
                <w:szCs w:val="16"/>
              </w:rPr>
            </w:pPr>
            <w:r>
              <w:rPr>
                <w:rFonts w:ascii="Poppins" w:hAnsi="Poppins" w:cs="Poppins"/>
                <w:sz w:val="16"/>
                <w:szCs w:val="16"/>
              </w:rPr>
              <w:t xml:space="preserve">Mouse monoclonal antibody to </w:t>
            </w:r>
            <w:r w:rsidR="009A0D0C">
              <w:rPr>
                <w:rFonts w:ascii="Poppins" w:hAnsi="Poppins" w:cs="Poppins"/>
                <w:sz w:val="16"/>
                <w:szCs w:val="16"/>
              </w:rPr>
              <w:t>HA</w:t>
            </w:r>
            <w:r>
              <w:rPr>
                <w:rFonts w:ascii="Poppins" w:hAnsi="Poppins" w:cs="Poppins"/>
                <w:sz w:val="16"/>
                <w:szCs w:val="16"/>
              </w:rPr>
              <w:t>-tag</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05B6D5C6" w:rsidR="00732A62" w:rsidRDefault="00732A62" w:rsidP="00732A62">
            <w:pPr>
              <w:rPr>
                <w:rFonts w:ascii="Poppins" w:hAnsi="Poppins" w:cs="Poppins"/>
                <w:sz w:val="16"/>
                <w:szCs w:val="16"/>
              </w:rPr>
            </w:pPr>
            <w:r w:rsidRPr="00732A62">
              <w:rPr>
                <w:rFonts w:ascii="Poppins" w:hAnsi="Poppins" w:cs="Poppins"/>
                <w:sz w:val="16"/>
                <w:szCs w:val="16"/>
              </w:rPr>
              <w:t xml:space="preserve">Liquid in 0.42% Potassium </w:t>
            </w:r>
            <w:proofErr w:type="gramStart"/>
            <w:r w:rsidRPr="00732A62">
              <w:rPr>
                <w:rFonts w:ascii="Poppins" w:hAnsi="Poppins" w:cs="Poppins"/>
                <w:sz w:val="16"/>
                <w:szCs w:val="16"/>
              </w:rPr>
              <w:t>phosphate</w:t>
            </w:r>
            <w:proofErr w:type="gramEnd"/>
            <w:r w:rsidRPr="00732A62">
              <w:rPr>
                <w:rFonts w:ascii="Poppins" w:hAnsi="Poppins" w:cs="Poppins"/>
                <w:sz w:val="16"/>
                <w:szCs w:val="16"/>
              </w:rPr>
              <w:t>, 0.87% Sodium chloride, pH 7.3, 30%</w:t>
            </w:r>
            <w:r w:rsidR="00BB0E5B">
              <w:rPr>
                <w:rFonts w:ascii="Poppins" w:hAnsi="Poppins" w:cs="Poppins"/>
                <w:sz w:val="16"/>
                <w:szCs w:val="16"/>
              </w:rPr>
              <w:t xml:space="preserve"> </w:t>
            </w:r>
            <w:r w:rsidRPr="00732A62">
              <w:rPr>
                <w:rFonts w:ascii="Poppins" w:hAnsi="Poppins" w:cs="Poppins"/>
                <w:sz w:val="16"/>
                <w:szCs w:val="16"/>
              </w:rPr>
              <w:t xml:space="preserve">glycerol, and 0.01% sodium </w:t>
            </w:r>
            <w:proofErr w:type="spellStart"/>
            <w:r w:rsidRPr="00732A62">
              <w:rPr>
                <w:rFonts w:ascii="Poppins" w:hAnsi="Poppins" w:cs="Poppins"/>
                <w:sz w:val="16"/>
                <w:szCs w:val="16"/>
              </w:rPr>
              <w:t>azide</w:t>
            </w:r>
            <w:proofErr w:type="spellEnd"/>
            <w:r>
              <w:rPr>
                <w:rFonts w:ascii="Poppins" w:hAnsi="Poppins" w:cs="Poppins"/>
                <w:sz w:val="16"/>
                <w:szCs w:val="16"/>
              </w:rPr>
              <w:t>.</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1AE96821" w:rsidR="00C74E48" w:rsidRDefault="00C74E48" w:rsidP="00647449">
            <w:pPr>
              <w:jc w:val="center"/>
              <w:rPr>
                <w:rFonts w:ascii="Poppins" w:hAnsi="Poppins" w:cs="Poppins"/>
                <w:noProof/>
              </w:rPr>
            </w:pPr>
          </w:p>
          <w:p w14:paraId="46D499C5" w14:textId="442E6A91" w:rsidR="00016DFC" w:rsidRDefault="009A0D0C" w:rsidP="004D17E9">
            <w:pPr>
              <w:rPr>
                <w:rFonts w:ascii="Poppins" w:hAnsi="Poppins" w:cs="Poppins"/>
                <w:b/>
                <w:bCs/>
                <w:sz w:val="18"/>
                <w:szCs w:val="18"/>
              </w:rPr>
            </w:pPr>
            <w:r w:rsidRPr="009A0D0C">
              <w:rPr>
                <w:rFonts w:ascii="Poppins" w:hAnsi="Poppins" w:cs="Poppins"/>
                <w:b/>
                <w:bCs/>
                <w:noProof/>
                <w:sz w:val="18"/>
                <w:szCs w:val="18"/>
              </w:rPr>
              <w:drawing>
                <wp:anchor distT="0" distB="0" distL="114300" distR="114300" simplePos="0" relativeHeight="251658240" behindDoc="0" locked="0" layoutInCell="1" allowOverlap="1" wp14:anchorId="43BB0FD9" wp14:editId="366C581A">
                  <wp:simplePos x="0" y="0"/>
                  <wp:positionH relativeFrom="column">
                    <wp:posOffset>4445</wp:posOffset>
                  </wp:positionH>
                  <wp:positionV relativeFrom="paragraph">
                    <wp:posOffset>-635</wp:posOffset>
                  </wp:positionV>
                  <wp:extent cx="1905000" cy="1866900"/>
                  <wp:effectExtent l="0" t="0" r="0" b="0"/>
                  <wp:wrapSquare wrapText="bothSides"/>
                  <wp:docPr id="75435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57759" name=""/>
                          <pic:cNvPicPr/>
                        </pic:nvPicPr>
                        <pic:blipFill>
                          <a:blip r:embed="rId9">
                            <a:extLst>
                              <a:ext uri="{28A0092B-C50C-407E-A947-70E740481C1C}">
                                <a14:useLocalDpi xmlns:a14="http://schemas.microsoft.com/office/drawing/2010/main" val="0"/>
                              </a:ext>
                            </a:extLst>
                          </a:blip>
                          <a:stretch>
                            <a:fillRect/>
                          </a:stretch>
                        </pic:blipFill>
                        <pic:spPr>
                          <a:xfrm>
                            <a:off x="0" y="0"/>
                            <a:ext cx="1905000" cy="1866900"/>
                          </a:xfrm>
                          <a:prstGeom prst="rect">
                            <a:avLst/>
                          </a:prstGeom>
                        </pic:spPr>
                      </pic:pic>
                    </a:graphicData>
                  </a:graphic>
                  <wp14:sizeRelH relativeFrom="page">
                    <wp14:pctWidth>0</wp14:pctWidth>
                  </wp14:sizeRelH>
                  <wp14:sizeRelV relativeFrom="page">
                    <wp14:pctHeight>0</wp14:pctHeight>
                  </wp14:sizeRelV>
                </wp:anchor>
              </w:drawing>
            </w:r>
          </w:p>
          <w:p w14:paraId="5DD15361" w14:textId="452690FD" w:rsidR="0047579A" w:rsidRPr="0047579A" w:rsidRDefault="0047579A" w:rsidP="0047579A">
            <w:pPr>
              <w:rPr>
                <w:rFonts w:ascii="Poppins" w:hAnsi="Poppins" w:cs="Poppins"/>
                <w:sz w:val="18"/>
                <w:szCs w:val="18"/>
              </w:rPr>
            </w:pPr>
            <w:r w:rsidRPr="0047579A">
              <w:rPr>
                <w:rFonts w:ascii="Poppins" w:hAnsi="Poppins" w:cs="Poppins"/>
                <w:sz w:val="18"/>
                <w:szCs w:val="18"/>
              </w:rPr>
              <w:t xml:space="preserve">Immunofluorescent analysis of </w:t>
            </w:r>
            <w:r w:rsidR="009A0D0C">
              <w:rPr>
                <w:rFonts w:ascii="Poppins" w:hAnsi="Poppins" w:cs="Poppins"/>
                <w:sz w:val="18"/>
                <w:szCs w:val="18"/>
              </w:rPr>
              <w:t>HA</w:t>
            </w:r>
            <w:r w:rsidRPr="0047579A">
              <w:rPr>
                <w:rFonts w:ascii="Poppins" w:hAnsi="Poppins" w:cs="Poppins"/>
                <w:sz w:val="18"/>
                <w:szCs w:val="18"/>
              </w:rPr>
              <w:t xml:space="preserve">-tag staining in 293T cells transfected with </w:t>
            </w:r>
            <w:proofErr w:type="gramStart"/>
            <w:r w:rsidRPr="0047579A">
              <w:rPr>
                <w:rFonts w:ascii="Poppins" w:hAnsi="Poppins" w:cs="Poppins"/>
                <w:sz w:val="18"/>
                <w:szCs w:val="18"/>
              </w:rPr>
              <w:t>a</w:t>
            </w:r>
            <w:r w:rsidR="009A0D0C">
              <w:rPr>
                <w:rFonts w:ascii="Poppins" w:hAnsi="Poppins" w:cs="Poppins"/>
                <w:sz w:val="18"/>
                <w:szCs w:val="18"/>
              </w:rPr>
              <w:t>n HA</w:t>
            </w:r>
            <w:proofErr w:type="gramEnd"/>
            <w:r w:rsidRPr="0047579A">
              <w:rPr>
                <w:rFonts w:ascii="Poppins" w:hAnsi="Poppins" w:cs="Poppins"/>
                <w:sz w:val="18"/>
                <w:szCs w:val="18"/>
              </w:rPr>
              <w:t xml:space="preserve">-tag protein. Formalin-fixed cells were permeabilized with 0.1% Triton X-100 in TBS for 5-10 minutes and blocked with 3% BSA-PBS for 30 minutes at room temperature. Cells were probed with the primary antibody in 3% BSA-PBS and incubated overnight. at 4 °C in a humidified chamber. Cells were washed with PBST and incubated with a </w:t>
            </w:r>
            <w:proofErr w:type="spellStart"/>
            <w:r w:rsidRPr="0047579A">
              <w:rPr>
                <w:rFonts w:ascii="Poppins" w:hAnsi="Poppins" w:cs="Poppins"/>
                <w:sz w:val="18"/>
                <w:szCs w:val="18"/>
              </w:rPr>
              <w:t>DyLight</w:t>
            </w:r>
            <w:proofErr w:type="spellEnd"/>
            <w:r w:rsidRPr="0047579A">
              <w:rPr>
                <w:rFonts w:ascii="Poppins" w:hAnsi="Poppins" w:cs="Poppins"/>
                <w:sz w:val="18"/>
                <w:szCs w:val="18"/>
              </w:rPr>
              <w:t xml:space="preserve"> 594-conjugated secondary antibody (red) in PBS at room temperature in the dark. DAPI was used to stain the cell nuclei (blue).</w:t>
            </w:r>
          </w:p>
          <w:p w14:paraId="0EC6F656" w14:textId="33C72F67" w:rsidR="00C74E48" w:rsidRPr="00016DFC" w:rsidRDefault="00C74E48" w:rsidP="00647449">
            <w:pPr>
              <w:jc w:val="center"/>
              <w:rPr>
                <w:rFonts w:ascii="Poppins" w:hAnsi="Poppins" w:cs="Poppins"/>
                <w:b/>
                <w:bCs/>
                <w:sz w:val="18"/>
                <w:szCs w:val="18"/>
              </w:rPr>
            </w:pPr>
          </w:p>
        </w:tc>
      </w:tr>
    </w:tbl>
    <w:p w14:paraId="5183B934" w14:textId="77777777" w:rsidR="00787FB1" w:rsidRPr="00787FB1" w:rsidRDefault="00787FB1" w:rsidP="00787FB1">
      <w:pPr>
        <w:rPr>
          <w:rFonts w:ascii="Poppins" w:hAnsi="Poppins" w:cs="Poppins"/>
        </w:rPr>
      </w:pPr>
    </w:p>
    <w:p w14:paraId="44635467" w14:textId="55B28459" w:rsidR="00787FB1" w:rsidRPr="00787FB1" w:rsidRDefault="00787FB1" w:rsidP="00787FB1">
      <w:pPr>
        <w:tabs>
          <w:tab w:val="left" w:pos="2383"/>
        </w:tabs>
        <w:rPr>
          <w:rFonts w:ascii="Poppins" w:hAnsi="Poppins" w:cs="Poppins"/>
        </w:rPr>
      </w:pPr>
    </w:p>
    <w:sectPr w:rsidR="00787FB1" w:rsidRPr="00787FB1" w:rsidSect="000C3396">
      <w:headerReference w:type="even" r:id="rId10"/>
      <w:headerReference w:type="default" r:id="rId11"/>
      <w:footerReference w:type="default" r:id="rId12"/>
      <w:headerReference w:type="first" r:id="rId13"/>
      <w:footerReference w:type="first" r:id="rId14"/>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391FC" w14:textId="77777777" w:rsidR="00681B36" w:rsidRDefault="00681B36" w:rsidP="007400AE">
      <w:pPr>
        <w:spacing w:after="0" w:line="240" w:lineRule="auto"/>
      </w:pPr>
      <w:r>
        <w:separator/>
      </w:r>
    </w:p>
  </w:endnote>
  <w:endnote w:type="continuationSeparator" w:id="0">
    <w:p w14:paraId="651E6C8D" w14:textId="77777777" w:rsidR="00681B36" w:rsidRDefault="00681B36"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47D7E" w14:textId="77777777" w:rsidR="00681B36" w:rsidRDefault="00681B36" w:rsidP="007400AE">
      <w:pPr>
        <w:spacing w:after="0" w:line="240" w:lineRule="auto"/>
      </w:pPr>
      <w:r>
        <w:separator/>
      </w:r>
    </w:p>
  </w:footnote>
  <w:footnote w:type="continuationSeparator" w:id="0">
    <w:p w14:paraId="5E42BF88" w14:textId="77777777" w:rsidR="00681B36" w:rsidRDefault="00681B36"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1067B1"/>
    <w:rsid w:val="00126D90"/>
    <w:rsid w:val="0013145D"/>
    <w:rsid w:val="00192F37"/>
    <w:rsid w:val="001B5343"/>
    <w:rsid w:val="002053FF"/>
    <w:rsid w:val="0027774C"/>
    <w:rsid w:val="002F3680"/>
    <w:rsid w:val="003314C3"/>
    <w:rsid w:val="00361FE2"/>
    <w:rsid w:val="003A57E7"/>
    <w:rsid w:val="003F672E"/>
    <w:rsid w:val="004409C6"/>
    <w:rsid w:val="0046134E"/>
    <w:rsid w:val="00461D40"/>
    <w:rsid w:val="00466801"/>
    <w:rsid w:val="00472720"/>
    <w:rsid w:val="0047579A"/>
    <w:rsid w:val="004834D7"/>
    <w:rsid w:val="00485BC4"/>
    <w:rsid w:val="004A4D58"/>
    <w:rsid w:val="004D17E9"/>
    <w:rsid w:val="004F2608"/>
    <w:rsid w:val="005D6C1A"/>
    <w:rsid w:val="005F0A8E"/>
    <w:rsid w:val="005F10EC"/>
    <w:rsid w:val="005F75F2"/>
    <w:rsid w:val="00647449"/>
    <w:rsid w:val="00681B36"/>
    <w:rsid w:val="00697A63"/>
    <w:rsid w:val="00732A62"/>
    <w:rsid w:val="007400AE"/>
    <w:rsid w:val="00787FB1"/>
    <w:rsid w:val="007B23EE"/>
    <w:rsid w:val="008129FE"/>
    <w:rsid w:val="00825533"/>
    <w:rsid w:val="00833FE5"/>
    <w:rsid w:val="008566C3"/>
    <w:rsid w:val="008D0242"/>
    <w:rsid w:val="00920A3C"/>
    <w:rsid w:val="009A0D0C"/>
    <w:rsid w:val="009C0313"/>
    <w:rsid w:val="00A13CEC"/>
    <w:rsid w:val="00A16118"/>
    <w:rsid w:val="00A222C2"/>
    <w:rsid w:val="00A31997"/>
    <w:rsid w:val="00A42E21"/>
    <w:rsid w:val="00A54B26"/>
    <w:rsid w:val="00AA2250"/>
    <w:rsid w:val="00AB60A6"/>
    <w:rsid w:val="00AD76AE"/>
    <w:rsid w:val="00AF3AA8"/>
    <w:rsid w:val="00B97119"/>
    <w:rsid w:val="00BA40A2"/>
    <w:rsid w:val="00BB0E5B"/>
    <w:rsid w:val="00C2504D"/>
    <w:rsid w:val="00C43CFD"/>
    <w:rsid w:val="00C533F6"/>
    <w:rsid w:val="00C74E48"/>
    <w:rsid w:val="00C974A0"/>
    <w:rsid w:val="00CA4C28"/>
    <w:rsid w:val="00CB0662"/>
    <w:rsid w:val="00CB5440"/>
    <w:rsid w:val="00CD5340"/>
    <w:rsid w:val="00D0250C"/>
    <w:rsid w:val="00D42DB1"/>
    <w:rsid w:val="00D84203"/>
    <w:rsid w:val="00DA6E52"/>
    <w:rsid w:val="00DE729B"/>
    <w:rsid w:val="00DF2FDA"/>
    <w:rsid w:val="00DF5225"/>
    <w:rsid w:val="00E02670"/>
    <w:rsid w:val="00E36D0B"/>
    <w:rsid w:val="00E67FF5"/>
    <w:rsid w:val="00F5355D"/>
    <w:rsid w:val="00F913BB"/>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5</cp:revision>
  <cp:lastPrinted>2025-06-04T16:20:00Z</cp:lastPrinted>
  <dcterms:created xsi:type="dcterms:W3CDTF">2025-08-12T19:05:00Z</dcterms:created>
  <dcterms:modified xsi:type="dcterms:W3CDTF">2025-08-14T15:08:00Z</dcterms:modified>
</cp:coreProperties>
</file>