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7676417C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r w:rsidR="00A516A8">
        <w:rPr>
          <w:rFonts w:ascii="Poppins" w:hAnsi="Poppins" w:cs="Poppins"/>
          <w:b/>
          <w:bCs/>
        </w:rPr>
        <w:t>GST</w:t>
      </w:r>
      <w:r w:rsidR="008D0242">
        <w:rPr>
          <w:rFonts w:ascii="Poppins" w:hAnsi="Poppins" w:cs="Poppins"/>
          <w:b/>
          <w:bCs/>
        </w:rPr>
        <w:t>-Tag Monoclonal Antibody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8D0242" w:rsidRPr="008D0242">
        <w:rPr>
          <w:rFonts w:ascii="Poppins" w:hAnsi="Poppins" w:cs="Poppins"/>
          <w:sz w:val="20"/>
          <w:szCs w:val="20"/>
        </w:rPr>
        <w:t>ORF.</w:t>
      </w:r>
      <w:r w:rsidR="00FB53F7">
        <w:rPr>
          <w:rFonts w:ascii="Poppins" w:hAnsi="Poppins" w:cs="Poppins"/>
          <w:sz w:val="20"/>
          <w:szCs w:val="20"/>
        </w:rPr>
        <w:t>GST</w:t>
      </w:r>
      <w:r w:rsidR="008D0242" w:rsidRPr="008D0242">
        <w:rPr>
          <w:rFonts w:ascii="Poppins" w:hAnsi="Poppins" w:cs="Poppins"/>
          <w:sz w:val="20"/>
          <w:szCs w:val="20"/>
        </w:rPr>
        <w:t>MAB-50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40B8FCAC" w:rsidR="00AA2250" w:rsidRPr="00A16118" w:rsidRDefault="00FB53F7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GST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>-Tag Monoclonal Antibody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7CF0EAB2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ORF.</w:t>
            </w:r>
            <w:r w:rsidR="00FB53F7">
              <w:rPr>
                <w:rFonts w:ascii="Poppins" w:hAnsi="Poppins" w:cs="Poppins"/>
                <w:sz w:val="16"/>
                <w:szCs w:val="16"/>
              </w:rPr>
              <w:t>GST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MAB-50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39DA9179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 xml:space="preserve">50 </w:t>
            </w:r>
            <w:proofErr w:type="spellStart"/>
            <w:r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L</w:t>
            </w:r>
            <w:proofErr w:type="spellEnd"/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76293DC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0E220FF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Monoclonal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6A2F211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Mouse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6E1F2480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The antibody was purified by immunogen affinity chromatography. 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2F2CEE51" w14:textId="77777777" w:rsidR="00A516A8" w:rsidRPr="00A516A8" w:rsidRDefault="00A516A8" w:rsidP="00A516A8">
            <w:pPr>
              <w:rPr>
                <w:rFonts w:ascii="Poppins" w:hAnsi="Poppins" w:cs="Poppins"/>
                <w:sz w:val="16"/>
                <w:szCs w:val="16"/>
              </w:rPr>
            </w:pPr>
            <w:r w:rsidRPr="00A516A8">
              <w:rPr>
                <w:rFonts w:ascii="Poppins" w:hAnsi="Poppins" w:cs="Poppins"/>
                <w:sz w:val="16"/>
                <w:szCs w:val="16"/>
              </w:rPr>
              <w:t xml:space="preserve">Glutathione S-transferase (GST) is a 26 </w:t>
            </w:r>
            <w:proofErr w:type="spellStart"/>
            <w:r w:rsidRPr="00A516A8">
              <w:rPr>
                <w:rFonts w:ascii="Poppins" w:hAnsi="Poppins" w:cs="Poppins"/>
                <w:sz w:val="16"/>
                <w:szCs w:val="16"/>
              </w:rPr>
              <w:t>kDa</w:t>
            </w:r>
            <w:proofErr w:type="spellEnd"/>
            <w:r w:rsidRPr="00A516A8">
              <w:rPr>
                <w:rFonts w:ascii="Poppins" w:hAnsi="Poppins" w:cs="Poppins"/>
                <w:sz w:val="16"/>
                <w:szCs w:val="16"/>
              </w:rPr>
              <w:t xml:space="preserve"> protein found in both eukaryotic and prokaryotic organisms, where it catalyzes a variety of biochemical reactions. In research applications, the GST gene is frequently used in fusion expression systems, producing GST-tagged proteins that can be efficiently purified via their strong affinity for glutathione.</w:t>
            </w:r>
          </w:p>
          <w:p w14:paraId="69BF572A" w14:textId="77777777" w:rsidR="00A516A8" w:rsidRPr="00A516A8" w:rsidRDefault="00A516A8" w:rsidP="00A516A8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6C7FD9DF" w14:textId="77777777" w:rsidR="00A516A8" w:rsidRPr="00A516A8" w:rsidRDefault="00A516A8" w:rsidP="00A516A8">
            <w:pPr>
              <w:rPr>
                <w:rFonts w:ascii="Poppins" w:hAnsi="Poppins" w:cs="Poppins"/>
                <w:sz w:val="16"/>
                <w:szCs w:val="16"/>
              </w:rPr>
            </w:pPr>
            <w:r w:rsidRPr="00A516A8">
              <w:rPr>
                <w:rFonts w:ascii="Poppins" w:hAnsi="Poppins" w:cs="Poppins"/>
                <w:sz w:val="16"/>
                <w:szCs w:val="16"/>
              </w:rPr>
              <w:t>GST fusion proteins are widely utilized in protein research, particularly for studying direct protein–protein interactions. The GST tag system is compatible with numerous expression vectors, making it a versatile and widely adopted tool for recombinant protein production and purification.</w:t>
            </w:r>
          </w:p>
          <w:p w14:paraId="7FD62443" w14:textId="77777777" w:rsidR="00A516A8" w:rsidRPr="00A516A8" w:rsidRDefault="00A516A8" w:rsidP="00A516A8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553A200A" w:rsidR="00361FE2" w:rsidRDefault="00A516A8" w:rsidP="00A516A8">
            <w:pPr>
              <w:rPr>
                <w:rFonts w:ascii="Poppins" w:hAnsi="Poppins" w:cs="Poppins"/>
              </w:rPr>
            </w:pPr>
            <w:r w:rsidRPr="00A516A8">
              <w:rPr>
                <w:rFonts w:ascii="Poppins" w:hAnsi="Poppins" w:cs="Poppins"/>
                <w:sz w:val="16"/>
                <w:szCs w:val="16"/>
              </w:rPr>
              <w:t>This monoclonal antibody specifically recognizes the GST epitope, enabling sensitive and specific detection of GST-tagged proteins in applications such as Western blotting, immunoprecipitation, immunofluorescence, and ELISA. It provides reliable performance for both native and denatured forms, ensuring consistent results across diverse experimental workflows.</w:t>
            </w:r>
          </w:p>
        </w:tc>
        <w:tc>
          <w:tcPr>
            <w:tcW w:w="4225" w:type="dxa"/>
            <w:vAlign w:val="center"/>
          </w:tcPr>
          <w:p w14:paraId="279E77EB" w14:textId="3B15506A" w:rsidR="00097092" w:rsidRDefault="00FB53F7" w:rsidP="00CB5440">
            <w:pPr>
              <w:jc w:val="center"/>
              <w:rPr>
                <w:rFonts w:ascii="Poppins" w:hAnsi="Poppins" w:cs="Poppins"/>
              </w:rPr>
            </w:pPr>
            <w:r w:rsidRPr="00FB53F7">
              <w:rPr>
                <w:rFonts w:ascii="Poppins" w:hAnsi="Poppins" w:cs="Poppins"/>
              </w:rPr>
              <w:drawing>
                <wp:inline distT="0" distB="0" distL="0" distR="0" wp14:anchorId="3BBAB4AC" wp14:editId="04B1ECE0">
                  <wp:extent cx="1781424" cy="2543530"/>
                  <wp:effectExtent l="0" t="0" r="9525" b="0"/>
                  <wp:docPr id="1090565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56561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24" cy="25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4844B827" w14:textId="651C87B9" w:rsidR="001B5343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1:2000 – 1:5000</w:t>
            </w:r>
          </w:p>
          <w:p w14:paraId="63052CF2" w14:textId="4D161458" w:rsidR="001B5343" w:rsidRPr="00A16118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IP: 1:100 – 1:200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Reactivity</w:t>
            </w:r>
          </w:p>
        </w:tc>
        <w:tc>
          <w:tcPr>
            <w:tcW w:w="8185" w:type="dxa"/>
            <w:gridSpan w:val="2"/>
          </w:tcPr>
          <w:p w14:paraId="45558839" w14:textId="0CD17ECC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N/A</w:t>
            </w:r>
          </w:p>
        </w:tc>
      </w:tr>
      <w:tr w:rsidR="00FF5DD9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8185" w:type="dxa"/>
            <w:gridSpan w:val="2"/>
          </w:tcPr>
          <w:p w14:paraId="391AC2E3" w14:textId="410CF9A9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Recognizes C-terminal, internal, and N-terminal </w:t>
            </w:r>
            <w:r w:rsidR="00FB3585">
              <w:rPr>
                <w:rFonts w:ascii="Poppins" w:hAnsi="Poppins" w:cs="Poppins"/>
                <w:sz w:val="16"/>
                <w:szCs w:val="16"/>
              </w:rPr>
              <w:t>GST</w:t>
            </w:r>
            <w:r>
              <w:rPr>
                <w:rFonts w:ascii="Poppins" w:hAnsi="Poppins" w:cs="Poppins"/>
                <w:sz w:val="16"/>
                <w:szCs w:val="16"/>
              </w:rPr>
              <w:t>-tag fusion proteins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Immunogen</w:t>
            </w:r>
          </w:p>
        </w:tc>
        <w:tc>
          <w:tcPr>
            <w:tcW w:w="8185" w:type="dxa"/>
            <w:gridSpan w:val="2"/>
          </w:tcPr>
          <w:p w14:paraId="71A36285" w14:textId="2D451E85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KLH-conjugated synthetic peptide encompassing a sequence of </w:t>
            </w:r>
            <w:r w:rsidR="00FB3585">
              <w:rPr>
                <w:rFonts w:ascii="Poppins" w:hAnsi="Poppins" w:cs="Poppins"/>
                <w:sz w:val="16"/>
                <w:szCs w:val="16"/>
              </w:rPr>
              <w:t>GST</w:t>
            </w:r>
            <w:r w:rsidRPr="00732A62">
              <w:rPr>
                <w:rFonts w:ascii="Poppins" w:hAnsi="Poppins" w:cs="Poppins"/>
                <w:sz w:val="16"/>
                <w:szCs w:val="16"/>
              </w:rPr>
              <w:t>-tag.</w:t>
            </w:r>
          </w:p>
          <w:p w14:paraId="0F98EB23" w14:textId="50BC8019" w:rsidR="00A31997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The exact sequence is proprietary</w:t>
            </w:r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35D9FD51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Mouse monoclonal antibody to </w:t>
            </w:r>
            <w:r w:rsidR="00FB3585">
              <w:rPr>
                <w:rFonts w:ascii="Poppins" w:hAnsi="Poppins" w:cs="Poppins"/>
                <w:sz w:val="16"/>
                <w:szCs w:val="16"/>
              </w:rPr>
              <w:t>GST</w:t>
            </w:r>
            <w:r>
              <w:rPr>
                <w:rFonts w:ascii="Poppins" w:hAnsi="Poppins" w:cs="Poppins"/>
                <w:sz w:val="16"/>
                <w:szCs w:val="16"/>
              </w:rPr>
              <w:t>-tag</w:t>
            </w:r>
          </w:p>
        </w:tc>
      </w:tr>
      <w:tr w:rsidR="00732A62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05B6D5C6" w:rsid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Liquid in 0.42% Potassium </w:t>
            </w:r>
            <w:proofErr w:type="gramStart"/>
            <w:r w:rsidRPr="00732A62">
              <w:rPr>
                <w:rFonts w:ascii="Poppins" w:hAnsi="Poppins" w:cs="Poppins"/>
                <w:sz w:val="16"/>
                <w:szCs w:val="16"/>
              </w:rPr>
              <w:t>phosphate</w:t>
            </w:r>
            <w:proofErr w:type="gramEnd"/>
            <w:r w:rsidRPr="00732A62">
              <w:rPr>
                <w:rFonts w:ascii="Poppins" w:hAnsi="Poppins" w:cs="Poppins"/>
                <w:sz w:val="16"/>
                <w:szCs w:val="16"/>
              </w:rPr>
              <w:t>, 0.87% Sodium chloride, pH 7.3, 30%</w:t>
            </w:r>
            <w:r w:rsidR="00BB0E5B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732A62">
              <w:rPr>
                <w:rFonts w:ascii="Poppins" w:hAnsi="Poppins" w:cs="Poppins"/>
                <w:sz w:val="16"/>
                <w:szCs w:val="16"/>
              </w:rPr>
              <w:t xml:space="preserve">glycerol, and 0.01% sodium </w:t>
            </w:r>
            <w:proofErr w:type="spellStart"/>
            <w:r w:rsidRPr="00732A62">
              <w:rPr>
                <w:rFonts w:ascii="Poppins" w:hAnsi="Poppins" w:cs="Poppins"/>
                <w:sz w:val="16"/>
                <w:szCs w:val="16"/>
              </w:rPr>
              <w:t>azide</w:t>
            </w:r>
            <w:proofErr w:type="spellEnd"/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</w:tbl>
    <w:p w14:paraId="3BA0E15C" w14:textId="77777777" w:rsidR="003A57E7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1AE96821" w:rsidR="00C74E48" w:rsidRDefault="00C74E48" w:rsidP="00647449">
            <w:pPr>
              <w:jc w:val="center"/>
              <w:rPr>
                <w:rFonts w:ascii="Poppins" w:hAnsi="Poppins" w:cs="Poppins"/>
                <w:noProof/>
              </w:rPr>
            </w:pPr>
          </w:p>
          <w:p w14:paraId="46D499C5" w14:textId="439FA96E" w:rsidR="00016DFC" w:rsidRDefault="00FB3585" w:rsidP="004D17E9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6B63D7C9" wp14:editId="121D85E6">
                  <wp:simplePos x="0" y="0"/>
                  <wp:positionH relativeFrom="column">
                    <wp:posOffset>2673</wp:posOffset>
                  </wp:positionH>
                  <wp:positionV relativeFrom="paragraph">
                    <wp:posOffset>886</wp:posOffset>
                  </wp:positionV>
                  <wp:extent cx="1485900" cy="2324735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323" y="21417"/>
                      <wp:lineTo x="21323" y="0"/>
                      <wp:lineTo x="0" y="0"/>
                    </wp:wrapPolygon>
                  </wp:wrapTight>
                  <wp:docPr id="455003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32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8BC711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7C9C78D7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153C8D62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1786A662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3F010930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5DD15361" w14:textId="23A9AA90" w:rsidR="0047579A" w:rsidRPr="0047579A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Western blot analysis of over-expressed GST-tagged protein in 293T cell lysate.</w:t>
            </w:r>
          </w:p>
          <w:p w14:paraId="0EC6F656" w14:textId="33C72F67" w:rsidR="00C74E48" w:rsidRPr="00016DFC" w:rsidRDefault="00C74E48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5183B934" w14:textId="77777777" w:rsidR="00787FB1" w:rsidRPr="00787FB1" w:rsidRDefault="00787FB1" w:rsidP="00787FB1">
      <w:pPr>
        <w:rPr>
          <w:rFonts w:ascii="Poppins" w:hAnsi="Poppins" w:cs="Poppins"/>
        </w:rPr>
      </w:pPr>
    </w:p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A1254" w14:textId="77777777" w:rsidR="00BF2CAF" w:rsidRDefault="00BF2CAF" w:rsidP="007400AE">
      <w:pPr>
        <w:spacing w:after="0" w:line="240" w:lineRule="auto"/>
      </w:pPr>
      <w:r>
        <w:separator/>
      </w:r>
    </w:p>
  </w:endnote>
  <w:endnote w:type="continuationSeparator" w:id="0">
    <w:p w14:paraId="18921919" w14:textId="77777777" w:rsidR="00BF2CAF" w:rsidRDefault="00BF2CAF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69" type="#_x0000_t75" style="position:absolute;margin-left:37.8pt;margin-top:323.4pt;width:538.15pt;height:345.9pt;z-index:-251656193;mso-position-horizontal-relative:margin;mso-position-vertical-relative:margin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>
      <w:fldChar w:fldCharType="begin"/>
    </w:r>
    <w:r w:rsidRPr="00A516A8">
      <w:rPr>
        <w:lang w:val="fr-FR"/>
      </w:rPr>
      <w:instrText>HYPERLINK "mailto:contact@orfbiologics.com"</w:instrText>
    </w:r>
    <w:r>
      <w:fldChar w:fldCharType="separate"/>
    </w:r>
    <w:r w:rsidRPr="00C974A0">
      <w:rPr>
        <w:rStyle w:val="Hyperlink"/>
        <w:rFonts w:ascii="Poppins" w:hAnsi="Poppins" w:cs="Poppins"/>
        <w:sz w:val="16"/>
        <w:szCs w:val="16"/>
        <w:lang w:val="fr-FR"/>
      </w:rPr>
      <w:t>contact@orfbiologics.com</w:t>
    </w:r>
    <w:r>
      <w:fldChar w:fldCharType="end"/>
    </w:r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61103" w14:textId="77777777" w:rsidR="00BF2CAF" w:rsidRDefault="00BF2CAF" w:rsidP="007400AE">
      <w:pPr>
        <w:spacing w:after="0" w:line="240" w:lineRule="auto"/>
      </w:pPr>
      <w:r>
        <w:separator/>
      </w:r>
    </w:p>
  </w:footnote>
  <w:footnote w:type="continuationSeparator" w:id="0">
    <w:p w14:paraId="4C2932D5" w14:textId="77777777" w:rsidR="00BF2CAF" w:rsidRDefault="00BF2CAF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68" type="#_x0000_t75" style="position:absolute;margin-left:0;margin-top:0;width:538.15pt;height:345.9pt;z-index:-251653120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67" type="#_x0000_t75" style="position:absolute;margin-left:0;margin-top:0;width:538.15pt;height:345.9pt;z-index:-251654144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4379B"/>
    <w:multiLevelType w:val="hybridMultilevel"/>
    <w:tmpl w:val="C54C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80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C3396"/>
    <w:rsid w:val="001067B1"/>
    <w:rsid w:val="00126D90"/>
    <w:rsid w:val="0013145D"/>
    <w:rsid w:val="00192F37"/>
    <w:rsid w:val="001B5343"/>
    <w:rsid w:val="002053FF"/>
    <w:rsid w:val="0027774C"/>
    <w:rsid w:val="002F3680"/>
    <w:rsid w:val="003314C3"/>
    <w:rsid w:val="00361FE2"/>
    <w:rsid w:val="003A57E7"/>
    <w:rsid w:val="003F672E"/>
    <w:rsid w:val="004409C6"/>
    <w:rsid w:val="0046134E"/>
    <w:rsid w:val="00461D40"/>
    <w:rsid w:val="00466801"/>
    <w:rsid w:val="00472720"/>
    <w:rsid w:val="0047579A"/>
    <w:rsid w:val="004834D7"/>
    <w:rsid w:val="00485BC4"/>
    <w:rsid w:val="004A4D58"/>
    <w:rsid w:val="004D17E9"/>
    <w:rsid w:val="004F2608"/>
    <w:rsid w:val="005D6C1A"/>
    <w:rsid w:val="005F0A8E"/>
    <w:rsid w:val="005F10EC"/>
    <w:rsid w:val="005F75F2"/>
    <w:rsid w:val="00647449"/>
    <w:rsid w:val="00681B36"/>
    <w:rsid w:val="00697A63"/>
    <w:rsid w:val="00732A62"/>
    <w:rsid w:val="007400AE"/>
    <w:rsid w:val="00787FB1"/>
    <w:rsid w:val="007B23EE"/>
    <w:rsid w:val="008129FE"/>
    <w:rsid w:val="00825533"/>
    <w:rsid w:val="00833FE5"/>
    <w:rsid w:val="008566C3"/>
    <w:rsid w:val="008D0242"/>
    <w:rsid w:val="00920A3C"/>
    <w:rsid w:val="009A0D0C"/>
    <w:rsid w:val="009C0313"/>
    <w:rsid w:val="00A1261E"/>
    <w:rsid w:val="00A13CEC"/>
    <w:rsid w:val="00A16118"/>
    <w:rsid w:val="00A222C2"/>
    <w:rsid w:val="00A31997"/>
    <w:rsid w:val="00A42E21"/>
    <w:rsid w:val="00A516A8"/>
    <w:rsid w:val="00A54B26"/>
    <w:rsid w:val="00AA2250"/>
    <w:rsid w:val="00AB60A6"/>
    <w:rsid w:val="00AD76AE"/>
    <w:rsid w:val="00AF3AA8"/>
    <w:rsid w:val="00B97119"/>
    <w:rsid w:val="00BA40A2"/>
    <w:rsid w:val="00BB0E5B"/>
    <w:rsid w:val="00BF2CAF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D0250C"/>
    <w:rsid w:val="00D42DB1"/>
    <w:rsid w:val="00D84203"/>
    <w:rsid w:val="00DA6E52"/>
    <w:rsid w:val="00DE729B"/>
    <w:rsid w:val="00DF2FDA"/>
    <w:rsid w:val="00DF5225"/>
    <w:rsid w:val="00E02670"/>
    <w:rsid w:val="00E36D0B"/>
    <w:rsid w:val="00E67FF5"/>
    <w:rsid w:val="00F5355D"/>
    <w:rsid w:val="00F913BB"/>
    <w:rsid w:val="00FB3585"/>
    <w:rsid w:val="00FB53F7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3</cp:revision>
  <cp:lastPrinted>2025-06-04T16:20:00Z</cp:lastPrinted>
  <dcterms:created xsi:type="dcterms:W3CDTF">2025-08-14T17:01:00Z</dcterms:created>
  <dcterms:modified xsi:type="dcterms:W3CDTF">2025-08-14T18:08:00Z</dcterms:modified>
</cp:coreProperties>
</file>